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0F4E5">
      <w:pPr>
        <w:jc w:val="both"/>
        <w:rPr>
          <w:rFonts w:hint="default" w:ascii="Times New Roman" w:hAnsi="Times New Roman" w:eastAsia="仿宋" w:cs="Times New Roman"/>
          <w:b/>
          <w:bCs/>
          <w:sz w:val="36"/>
          <w:szCs w:val="36"/>
        </w:rPr>
      </w:pPr>
    </w:p>
    <w:p w14:paraId="3D3D8684">
      <w:pPr>
        <w:jc w:val="both"/>
        <w:rPr>
          <w:rFonts w:hint="default" w:ascii="Times New Roman" w:hAnsi="Times New Roman" w:eastAsia="仿宋" w:cs="Times New Roman"/>
          <w:b/>
          <w:bCs/>
          <w:sz w:val="36"/>
          <w:szCs w:val="36"/>
        </w:rPr>
      </w:pPr>
    </w:p>
    <w:p w14:paraId="467FF82E">
      <w:pPr>
        <w:jc w:val="both"/>
        <w:rPr>
          <w:rFonts w:hint="default" w:ascii="Times New Roman" w:hAnsi="Times New Roman" w:eastAsia="仿宋" w:cs="Times New Roman"/>
          <w:b/>
          <w:bCs/>
          <w:sz w:val="36"/>
          <w:szCs w:val="36"/>
        </w:rPr>
      </w:pPr>
    </w:p>
    <w:p w14:paraId="40FDA6CC">
      <w:pPr>
        <w:jc w:val="center"/>
        <w:rPr>
          <w:rFonts w:hint="default" w:ascii="Times New Roman" w:hAnsi="Times New Roman" w:eastAsia="仿宋" w:cs="Times New Roman"/>
          <w:b/>
          <w:bCs/>
          <w:sz w:val="36"/>
          <w:szCs w:val="36"/>
        </w:rPr>
      </w:pPr>
    </w:p>
    <w:p w14:paraId="01C5EF1A">
      <w:pPr>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佳木斯市郊区国民经济和社会发展</w:t>
      </w:r>
    </w:p>
    <w:p w14:paraId="3EEF94D9">
      <w:pPr>
        <w:jc w:val="center"/>
        <w:rPr>
          <w:rFonts w:hint="default" w:ascii="Times New Roman" w:hAnsi="Times New Roman" w:eastAsia="方正小标宋简体" w:cs="Times New Roman"/>
          <w:b/>
          <w:bCs/>
          <w:sz w:val="36"/>
          <w:szCs w:val="36"/>
          <w:lang w:eastAsia="zh-CN"/>
        </w:rPr>
      </w:pPr>
      <w:r>
        <w:rPr>
          <w:rFonts w:hint="default" w:ascii="Times New Roman" w:hAnsi="Times New Roman" w:eastAsia="方正小标宋简体" w:cs="Times New Roman"/>
          <w:b w:val="0"/>
          <w:bCs w:val="0"/>
          <w:sz w:val="44"/>
          <w:szCs w:val="44"/>
        </w:rPr>
        <w:t>第十五个五年规划纲要</w:t>
      </w:r>
    </w:p>
    <w:p w14:paraId="6FAE15F0">
      <w:pPr>
        <w:jc w:val="both"/>
        <w:rPr>
          <w:rFonts w:hint="default" w:ascii="Times New Roman" w:hAnsi="Times New Roman" w:eastAsia="仿宋" w:cs="Times New Roman"/>
          <w:b/>
          <w:bCs/>
          <w:sz w:val="36"/>
          <w:szCs w:val="36"/>
        </w:rPr>
      </w:pPr>
    </w:p>
    <w:p w14:paraId="24F8511A">
      <w:pPr>
        <w:jc w:val="both"/>
        <w:rPr>
          <w:rFonts w:hint="default" w:ascii="Times New Roman" w:hAnsi="Times New Roman" w:eastAsia="仿宋" w:cs="Times New Roman"/>
          <w:b/>
          <w:bCs/>
          <w:sz w:val="36"/>
          <w:szCs w:val="36"/>
        </w:rPr>
      </w:pPr>
    </w:p>
    <w:p w14:paraId="2F0ECFF5">
      <w:pPr>
        <w:jc w:val="center"/>
        <w:rPr>
          <w:rFonts w:hint="default" w:ascii="Times New Roman" w:hAnsi="Times New Roman" w:eastAsia="仿宋" w:cs="Times New Roman"/>
          <w:b/>
          <w:bCs/>
          <w:sz w:val="36"/>
          <w:szCs w:val="36"/>
        </w:rPr>
      </w:pPr>
    </w:p>
    <w:p w14:paraId="3EFB9E05">
      <w:pPr>
        <w:jc w:val="center"/>
        <w:rPr>
          <w:rFonts w:hint="default" w:ascii="Times New Roman" w:hAnsi="Times New Roman" w:eastAsia="仿宋" w:cs="Times New Roman"/>
          <w:b/>
          <w:bCs/>
          <w:sz w:val="36"/>
          <w:szCs w:val="36"/>
        </w:rPr>
      </w:pPr>
    </w:p>
    <w:p w14:paraId="0D961AC8">
      <w:pPr>
        <w:jc w:val="center"/>
        <w:rPr>
          <w:rFonts w:hint="default" w:ascii="Times New Roman" w:hAnsi="Times New Roman" w:eastAsia="仿宋" w:cs="Times New Roman"/>
          <w:b/>
          <w:bCs/>
          <w:sz w:val="36"/>
          <w:szCs w:val="36"/>
        </w:rPr>
      </w:pPr>
    </w:p>
    <w:p w14:paraId="0B092FC6">
      <w:pPr>
        <w:jc w:val="center"/>
        <w:rPr>
          <w:rFonts w:hint="default" w:ascii="Times New Roman" w:hAnsi="Times New Roman" w:eastAsia="仿宋" w:cs="Times New Roman"/>
          <w:b/>
          <w:bCs/>
          <w:sz w:val="36"/>
          <w:szCs w:val="36"/>
        </w:rPr>
      </w:pPr>
    </w:p>
    <w:p w14:paraId="6EA9C946">
      <w:pPr>
        <w:jc w:val="center"/>
        <w:rPr>
          <w:rFonts w:hint="default" w:ascii="Times New Roman" w:hAnsi="Times New Roman" w:eastAsia="仿宋" w:cs="Times New Roman"/>
          <w:b/>
          <w:bCs/>
          <w:sz w:val="36"/>
          <w:szCs w:val="36"/>
        </w:rPr>
      </w:pPr>
    </w:p>
    <w:p w14:paraId="4993C462">
      <w:pPr>
        <w:jc w:val="center"/>
        <w:rPr>
          <w:rFonts w:hint="default" w:ascii="Times New Roman" w:hAnsi="Times New Roman" w:eastAsia="仿宋" w:cs="Times New Roman"/>
          <w:b/>
          <w:bCs/>
          <w:sz w:val="36"/>
          <w:szCs w:val="36"/>
        </w:rPr>
      </w:pPr>
    </w:p>
    <w:p w14:paraId="5A7F6D47">
      <w:pPr>
        <w:jc w:val="center"/>
        <w:rPr>
          <w:rFonts w:hint="default" w:ascii="Times New Roman" w:hAnsi="Times New Roman" w:eastAsia="仿宋" w:cs="Times New Roman"/>
          <w:b/>
          <w:bCs/>
          <w:sz w:val="36"/>
          <w:szCs w:val="36"/>
        </w:rPr>
      </w:pPr>
    </w:p>
    <w:p w14:paraId="0E093E9F">
      <w:pPr>
        <w:jc w:val="both"/>
        <w:rPr>
          <w:rFonts w:hint="default" w:ascii="Times New Roman" w:hAnsi="Times New Roman" w:eastAsia="仿宋" w:cs="Times New Roman"/>
          <w:b/>
          <w:bCs/>
          <w:sz w:val="36"/>
          <w:szCs w:val="36"/>
        </w:rPr>
      </w:pPr>
    </w:p>
    <w:p w14:paraId="00810D18">
      <w:pPr>
        <w:jc w:val="both"/>
        <w:rPr>
          <w:rFonts w:hint="default" w:ascii="Times New Roman" w:hAnsi="Times New Roman" w:eastAsia="仿宋" w:cs="Times New Roman"/>
          <w:b/>
          <w:bCs/>
          <w:sz w:val="36"/>
          <w:szCs w:val="36"/>
        </w:rPr>
      </w:pPr>
    </w:p>
    <w:p w14:paraId="298926E5">
      <w:pPr>
        <w:pStyle w:val="9"/>
        <w:rPr>
          <w:rFonts w:hint="default" w:ascii="Times New Roman" w:hAnsi="Times New Roman" w:cs="Times New Roman"/>
        </w:rPr>
      </w:pPr>
    </w:p>
    <w:p w14:paraId="3E445D14">
      <w:pPr>
        <w:jc w:val="center"/>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t>佳木斯市郊区人民政府</w:t>
      </w:r>
    </w:p>
    <w:p w14:paraId="4827E612">
      <w:pPr>
        <w:jc w:val="center"/>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t>二〇二</w:t>
      </w:r>
      <w:r>
        <w:rPr>
          <w:rFonts w:hint="default" w:ascii="Times New Roman" w:hAnsi="Times New Roman" w:eastAsia="黑体" w:cs="Times New Roman"/>
          <w:b w:val="0"/>
          <w:bCs w:val="0"/>
          <w:sz w:val="36"/>
          <w:szCs w:val="36"/>
          <w:lang w:val="en-US" w:eastAsia="zh-CN"/>
        </w:rPr>
        <w:t>六</w:t>
      </w:r>
      <w:r>
        <w:rPr>
          <w:rFonts w:hint="default" w:ascii="Times New Roman" w:hAnsi="Times New Roman" w:eastAsia="黑体" w:cs="Times New Roman"/>
          <w:b w:val="0"/>
          <w:bCs w:val="0"/>
          <w:sz w:val="36"/>
          <w:szCs w:val="36"/>
        </w:rPr>
        <w:t>年</w:t>
      </w:r>
      <w:r>
        <w:rPr>
          <w:rFonts w:hint="default" w:ascii="Times New Roman" w:hAnsi="Times New Roman" w:eastAsia="黑体" w:cs="Times New Roman"/>
          <w:b w:val="0"/>
          <w:bCs w:val="0"/>
          <w:sz w:val="36"/>
          <w:szCs w:val="36"/>
          <w:lang w:val="en-US" w:eastAsia="zh-CN"/>
        </w:rPr>
        <w:t>一</w:t>
      </w:r>
      <w:r>
        <w:rPr>
          <w:rFonts w:hint="default" w:ascii="Times New Roman" w:hAnsi="Times New Roman" w:eastAsia="黑体" w:cs="Times New Roman"/>
          <w:b w:val="0"/>
          <w:bCs w:val="0"/>
          <w:sz w:val="36"/>
          <w:szCs w:val="36"/>
        </w:rPr>
        <w:t>月</w:t>
      </w:r>
    </w:p>
    <w:p w14:paraId="455103C2">
      <w:pPr>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br w:type="page"/>
      </w:r>
    </w:p>
    <w:p w14:paraId="7EB6D91A">
      <w:pPr>
        <w:rPr>
          <w:rFonts w:hint="default" w:ascii="Times New Roman" w:hAnsi="Times New Roman" w:eastAsia="黑体" w:cs="Times New Roman"/>
          <w:b w:val="0"/>
          <w:bCs w:val="0"/>
          <w:sz w:val="36"/>
          <w:szCs w:val="36"/>
        </w:rPr>
      </w:pPr>
    </w:p>
    <w:p w14:paraId="0ED98D2B">
      <w:pPr>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br w:type="page"/>
      </w:r>
    </w:p>
    <w:p w14:paraId="0D4A981D">
      <w:pPr>
        <w:autoSpaceDE w:val="0"/>
        <w:autoSpaceDN w:val="0"/>
        <w:adjustRightInd w:val="0"/>
        <w:spacing w:line="360" w:lineRule="auto"/>
        <w:jc w:val="center"/>
        <w:rPr>
          <w:rFonts w:hint="default" w:ascii="Times New Roman" w:hAnsi="Times New Roman" w:eastAsia="方正小标宋简体" w:cs="Times New Roman"/>
          <w:bCs/>
          <w:sz w:val="44"/>
          <w:szCs w:val="44"/>
          <w:highlight w:val="none"/>
          <w:u w:val="none"/>
          <w:lang w:val="zh-CN"/>
        </w:rPr>
      </w:pPr>
      <w:r>
        <w:rPr>
          <w:rFonts w:hint="default" w:ascii="Times New Roman" w:hAnsi="Times New Roman" w:eastAsia="方正小标宋简体" w:cs="Times New Roman"/>
          <w:bCs/>
          <w:sz w:val="44"/>
          <w:szCs w:val="44"/>
          <w:highlight w:val="none"/>
          <w:u w:val="none"/>
          <w:lang w:val="zh-CN"/>
        </w:rPr>
        <w:t>目</w:t>
      </w:r>
      <w:r>
        <w:rPr>
          <w:rFonts w:hint="default" w:ascii="Times New Roman" w:hAnsi="Times New Roman" w:eastAsia="方正小标宋简体" w:cs="Times New Roman"/>
          <w:bCs/>
          <w:sz w:val="44"/>
          <w:szCs w:val="44"/>
          <w:highlight w:val="none"/>
          <w:u w:val="none"/>
          <w:lang w:val="en-US" w:eastAsia="zh-CN"/>
        </w:rPr>
        <w:t xml:space="preserve">  </w:t>
      </w:r>
      <w:r>
        <w:rPr>
          <w:rFonts w:hint="default" w:ascii="Times New Roman" w:hAnsi="Times New Roman" w:eastAsia="方正小标宋简体" w:cs="Times New Roman"/>
          <w:bCs/>
          <w:sz w:val="44"/>
          <w:szCs w:val="44"/>
          <w:highlight w:val="none"/>
          <w:u w:val="none"/>
          <w:lang w:val="zh-CN"/>
        </w:rPr>
        <w:t>录</w:t>
      </w:r>
    </w:p>
    <w:p w14:paraId="2F38FC37">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default" w:ascii="Times New Roman" w:hAnsi="Times New Roman" w:eastAsia="方正小标宋简体" w:cs="Times New Roman"/>
          <w:bCs/>
          <w:sz w:val="44"/>
          <w:szCs w:val="44"/>
          <w:highlight w:val="none"/>
          <w:u w:val="none"/>
          <w:lang w:val="zh-CN"/>
        </w:rPr>
      </w:pPr>
    </w:p>
    <w:p w14:paraId="0351826B">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TOC \o "1-2" \h \z \u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"_Toc216985847"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第一章 现实基础与发展环境</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_Toc216985847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904F944">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"_Toc216985848"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一、发展成就</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_Toc216985848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EDBA0F6">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"_Toc216985849"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二、发展环境</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_Toc216985849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ABAE67E">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第二章 总体要求和发展目标</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F29439D">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一、指导思想</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D13E80D">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二、基本原则</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2FBA2B0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三、发展定位</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4120344">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四、</w:t>
      </w:r>
      <w:r>
        <w:rPr>
          <w:rStyle w:val="36"/>
          <w:rFonts w:hint="default" w:ascii="Times New Roman" w:hAnsi="Times New Roman" w:cs="Times New Roman"/>
          <w:bCs/>
          <w:sz w:val="28"/>
          <w:szCs w:val="28"/>
          <w:highlight w:val="none"/>
          <w:u w:val="none"/>
        </w:rPr>
        <w:t>发展</w:t>
      </w:r>
      <w:r>
        <w:rPr>
          <w:rStyle w:val="36"/>
          <w:rFonts w:hint="default" w:ascii="Times New Roman" w:hAnsi="Times New Roman" w:cs="Times New Roman"/>
          <w:bCs/>
          <w:sz w:val="28"/>
          <w:szCs w:val="28"/>
          <w:highlight w:val="none"/>
          <w:u w:val="none"/>
          <w:lang w:val="zh-CN"/>
        </w:rPr>
        <w:t>目标</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213F902">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第三章 培育发展新质生产力，构建现代化产业体系</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_Toc216985855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23448923">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一、改造升级传统优势产业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_Toc216985856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15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74DBB2A">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二、培育发展壮大新兴产业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20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C11FD9F">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三、前瞻布局未来产业赛道</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25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93B7B8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"_Toc216985859"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四、提升产业园区承载能力</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_Toc216985859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27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9FFB24D">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第四章 积极发展现代服务产业，推动经济转型升级</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1682B55">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一、推动现代商贸流通体系</w:t>
      </w:r>
      <w:r>
        <w:rPr>
          <w:rStyle w:val="36"/>
          <w:rFonts w:hint="default" w:ascii="Times New Roman" w:hAnsi="Times New Roman" w:cs="Times New Roman"/>
          <w:bCs/>
          <w:sz w:val="28"/>
          <w:szCs w:val="28"/>
          <w:highlight w:val="none"/>
          <w:u w:val="none"/>
        </w:rPr>
        <w:t>建设</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453435A">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二、创新发展金融服务业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33</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394BCDF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三、加快</w:t>
      </w:r>
      <w:r>
        <w:rPr>
          <w:rStyle w:val="36"/>
          <w:rFonts w:hint="default" w:ascii="Times New Roman" w:hAnsi="Times New Roman" w:cs="Times New Roman"/>
          <w:bCs/>
          <w:sz w:val="28"/>
          <w:szCs w:val="28"/>
          <w:highlight w:val="none"/>
          <w:u w:val="none"/>
          <w:lang w:val="zh-CN"/>
        </w:rPr>
        <w:t>发展信息服务业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2C29DA72">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四、积极培育新兴服务业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36</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CAE0D19">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五</w:t>
      </w:r>
      <w:r>
        <w:rPr>
          <w:rStyle w:val="36"/>
          <w:rFonts w:hint="default" w:ascii="Times New Roman" w:hAnsi="Times New Roman" w:cs="Times New Roman"/>
          <w:bCs/>
          <w:sz w:val="28"/>
          <w:szCs w:val="28"/>
          <w:highlight w:val="none"/>
          <w:u w:val="none"/>
          <w:lang w:val="zh-CN"/>
        </w:rPr>
        <w:t>、提升生活服务业发展质量</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_Toc216985865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C394F14">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第五章 实施创新驱动发展战略，建设创业创新活力郊区</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_Toc216985866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D9B6152">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一、提升科技创新能力</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2CF16354">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二、完善科技创新体制机制</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39</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37C4D81">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"_Toc216985869"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第六章 聚焦农业高质量发展，全面推进乡村振兴</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_Toc216985869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41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2B62C5A">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一、提升优质农产品供给能力</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41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1D02E0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二、夯实农业高质量发展基础</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43</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A83426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三、构建现代化农业经营体系</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47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8980EC2">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四、提升农业组织化程度</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48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C7B2D65">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五、全面实施乡村振兴战略</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C8984E3">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第七章 统筹城乡发展，推进以人为核心的新型城镇化</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_Toc216985875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2BBC26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一、建立健全城乡融合发展体制机制</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_Toc216985876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81E676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二、强化城乡基础设施建设</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54</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2172914C">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第八章 坚持生态优先绿色发展，筑牢生态安全屏障</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33CDC23">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"_Toc216985879"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一、持续加强生态建设与保护</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_Toc216985879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58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0D60827">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二、释放绿色发展动能</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E03870C">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第九章 推动文化繁荣发展，建设龙江知名旅游目的地</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860D11E">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一</w:t>
      </w:r>
      <w:r>
        <w:rPr>
          <w:rStyle w:val="36"/>
          <w:rFonts w:hint="default" w:ascii="Times New Roman" w:hAnsi="Times New Roman" w:cs="Times New Roman"/>
          <w:bCs/>
          <w:sz w:val="28"/>
          <w:szCs w:val="28"/>
          <w:highlight w:val="none"/>
          <w:u w:val="none"/>
          <w:lang w:val="zh-CN"/>
        </w:rPr>
        <w:t>、推进文体惠民工程</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5434C2E">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二、积极打造全域旅游升级版</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64</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1CE6A35">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第十章 增进民生福祉，创造共享安居乐业的美好生活</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6CD69DE">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一、积极促进就业创业</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_Toc216985885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16331B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二、办好人民满意的教育</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_Toc216985886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69</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577A2B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三、完善社会保障体系</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39AACAEF">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四、实施全民健康行动</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837F4F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"_Toc216985889"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五</w:t>
      </w:r>
      <w:r>
        <w:rPr>
          <w:rStyle w:val="36"/>
          <w:rFonts w:hint="default" w:ascii="Times New Roman" w:hAnsi="Times New Roman" w:cs="Times New Roman"/>
          <w:bCs/>
          <w:sz w:val="28"/>
          <w:szCs w:val="28"/>
          <w:highlight w:val="none"/>
          <w:u w:val="none"/>
          <w:lang w:val="zh-CN"/>
        </w:rPr>
        <w:t>、扎实推进全区人民共同富裕</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_Toc216985889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74</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5BE504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六、促进人口高质量发展</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74</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311B4AE7">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rPr>
        <w:t>七</w:t>
      </w:r>
      <w:r>
        <w:rPr>
          <w:rStyle w:val="36"/>
          <w:rFonts w:hint="default" w:ascii="Times New Roman" w:hAnsi="Times New Roman" w:cs="Times New Roman"/>
          <w:bCs/>
          <w:sz w:val="28"/>
          <w:szCs w:val="28"/>
          <w:highlight w:val="none"/>
          <w:u w:val="none"/>
          <w:lang w:val="zh-CN"/>
        </w:rPr>
        <w:t>、全面促进民族团结融合</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76</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F154AD8">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第十一章 以改革释放发展新动能，开创合作开放新局面</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EE532E2">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一、推动有效市场与有为政府有机结合</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77</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69DDF006">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二、全面拓展国内外开放合作</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024E13FD">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 xml:space="preserve">第十二章 </w:t>
      </w:r>
      <w:r>
        <w:rPr>
          <w:rStyle w:val="36"/>
          <w:rFonts w:hint="default" w:ascii="Times New Roman" w:hAnsi="Times New Roman" w:cs="Times New Roman"/>
          <w:bCs/>
          <w:spacing w:val="-6"/>
          <w:sz w:val="28"/>
          <w:szCs w:val="28"/>
          <w:highlight w:val="none"/>
          <w:u w:val="none"/>
          <w:lang w:val="zh-CN"/>
        </w:rPr>
        <w:t>促进消费与投资良性互动，更好地服务和融入国内大循环</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_Toc216985895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0861836A">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一、大力推动消费扩容升级</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_Toc216985896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81</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FFB3D53">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"_Toc216985897"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二、着力提升投资规模和效益</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_Toc216985897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046C4C06">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"_Toc216985898"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第十三章 统筹推进发展和安全，全面建设平安郊区</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_Toc216985898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83</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49AD3338">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"_Toc216985899"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一、提升综合治理能力</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_Toc216985899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83</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1492D3E9">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"_Toc216985900"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二、建设更高水平“平安郊区”</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_Toc216985900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85</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5FD8444B">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"_Toc216985901"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第十四章 强化实施保障，为实现社会主义现代化奠定坚实基础</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_Toc216985901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06C0E95C">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"_Toc216985902"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一、坚持和加强党的全面领导</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_Toc216985902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88</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31C5286B">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"_Toc216985903"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二、完善要素保障体系</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_Toc216985903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90</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73AC5AF9">
      <w:pPr>
        <w:pStyle w:val="23"/>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"_Toc216985904"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三、健全规划实施机制</w:t>
      </w:r>
      <w:r>
        <w:rPr>
          <w:rFonts w:hint="default" w:ascii="Times New Roman" w:hAnsi="Times New Roman" w:cs="Times New Roman"/>
          <w:bCs/>
          <w:sz w:val="28"/>
          <w:szCs w:val="28"/>
          <w:highlight w:val="none"/>
          <w:u w:val="none"/>
        </w:rPr>
        <w:tab/>
      </w:r>
      <w:r>
        <w:rPr>
          <w:rFonts w:hint="default" w:ascii="Times New Roman" w:hAnsi="Times New Roman" w:cs="Times New Roman"/>
          <w:bCs/>
          <w:sz w:val="28"/>
          <w:szCs w:val="28"/>
          <w:highlight w:val="none"/>
          <w:u w:val="none"/>
        </w:rPr>
        <w:fldChar w:fldCharType="begin"/>
      </w:r>
      <w:r>
        <w:rPr>
          <w:rFonts w:hint="default" w:ascii="Times New Roman" w:hAnsi="Times New Roman" w:cs="Times New Roman"/>
          <w:bCs/>
          <w:sz w:val="28"/>
          <w:szCs w:val="28"/>
          <w:highlight w:val="none"/>
          <w:u w:val="none"/>
        </w:rPr>
        <w:instrText xml:space="preserve"> PAGEREF _Toc216985904 \h </w:instrText>
      </w:r>
      <w:r>
        <w:rPr>
          <w:rFonts w:hint="default" w:ascii="Times New Roman" w:hAnsi="Times New Roman" w:cs="Times New Roman"/>
          <w:bCs/>
          <w:sz w:val="28"/>
          <w:szCs w:val="28"/>
          <w:highlight w:val="none"/>
          <w:u w:val="none"/>
        </w:rPr>
        <w:fldChar w:fldCharType="separate"/>
      </w:r>
      <w:r>
        <w:rPr>
          <w:rFonts w:hint="default" w:ascii="Times New Roman" w:hAnsi="Times New Roman" w:cs="Times New Roman"/>
          <w:bCs/>
          <w:sz w:val="28"/>
          <w:szCs w:val="28"/>
          <w:highlight w:val="none"/>
          <w:u w:val="none"/>
        </w:rPr>
        <w:t>92</w:t>
      </w:r>
      <w:r>
        <w:rPr>
          <w:rFonts w:hint="default" w:ascii="Times New Roman" w:hAnsi="Times New Roman" w:cs="Times New Roman"/>
          <w:bCs/>
          <w:sz w:val="28"/>
          <w:szCs w:val="28"/>
          <w:highlight w:val="none"/>
          <w:u w:val="none"/>
        </w:rPr>
        <w:fldChar w:fldCharType="end"/>
      </w:r>
      <w:r>
        <w:rPr>
          <w:rFonts w:hint="default" w:ascii="Times New Roman" w:hAnsi="Times New Roman" w:cs="Times New Roman"/>
          <w:bCs/>
          <w:sz w:val="28"/>
          <w:szCs w:val="28"/>
          <w:highlight w:val="none"/>
          <w:u w:val="none"/>
        </w:rPr>
        <w:fldChar w:fldCharType="end"/>
      </w:r>
    </w:p>
    <w:p w14:paraId="362AF4F3">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cs="Times New Roman"/>
          <w:bCs/>
          <w:sz w:val="28"/>
          <w:szCs w:val="28"/>
          <w:highlight w:val="none"/>
          <w:u w:val="none"/>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"_Toc216985905"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附录1：名词解释</w:t>
      </w:r>
      <w:r>
        <w:rPr>
          <w:rFonts w:hint="default" w:ascii="Times New Roman" w:hAnsi="Times New Roman" w:cs="Times New Roman"/>
          <w:bCs/>
          <w:sz w:val="28"/>
          <w:szCs w:val="28"/>
          <w:highlight w:val="none"/>
          <w:u w:val="none"/>
        </w:rPr>
        <w:fldChar w:fldCharType="end"/>
      </w:r>
    </w:p>
    <w:p w14:paraId="2903D6BC">
      <w:pPr>
        <w:pStyle w:val="19"/>
        <w:keepNext w:val="0"/>
        <w:keepLines w:val="0"/>
        <w:pageBreakBefore w:val="0"/>
        <w:tabs>
          <w:tab w:val="right" w:leader="dot" w:pos="8296"/>
        </w:tabs>
        <w:kinsoku/>
        <w:wordWrap/>
        <w:overflowPunct/>
        <w:topLinePunct w:val="0"/>
        <w:autoSpaceDE/>
        <w:autoSpaceDN/>
        <w:bidi w:val="0"/>
        <w:spacing w:line="600" w:lineRule="exact"/>
        <w:textAlignment w:val="auto"/>
        <w:rPr>
          <w:rFonts w:hint="default" w:ascii="Times New Roman" w:hAnsi="Times New Roman" w:eastAsia="宋体" w:cs="Times New Roman"/>
          <w:bCs/>
          <w:sz w:val="28"/>
          <w:szCs w:val="28"/>
          <w:highlight w:val="none"/>
          <w:u w:val="none"/>
          <w:lang w:val="en-US" w:eastAsia="zh-CN"/>
          <w14:ligatures w14:val="standardContextual"/>
        </w:rPr>
      </w:pP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\l "_Toc216985906" </w:instrText>
      </w:r>
      <w:r>
        <w:rPr>
          <w:rFonts w:hint="default" w:ascii="Times New Roman" w:hAnsi="Times New Roman" w:cs="Times New Roman"/>
          <w:highlight w:val="none"/>
          <w:u w:val="none"/>
        </w:rPr>
        <w:fldChar w:fldCharType="separate"/>
      </w:r>
      <w:r>
        <w:rPr>
          <w:rStyle w:val="36"/>
          <w:rFonts w:hint="default" w:ascii="Times New Roman" w:hAnsi="Times New Roman" w:cs="Times New Roman"/>
          <w:bCs/>
          <w:sz w:val="28"/>
          <w:szCs w:val="28"/>
          <w:highlight w:val="none"/>
          <w:u w:val="none"/>
          <w:lang w:val="zh-CN"/>
        </w:rPr>
        <w:t>附录2：“十五五”规划重点建设项目表</w:t>
      </w:r>
      <w:r>
        <w:rPr>
          <w:rFonts w:hint="default" w:ascii="Times New Roman" w:hAnsi="Times New Roman" w:cs="Times New Roman"/>
          <w:bCs/>
          <w:sz w:val="28"/>
          <w:szCs w:val="28"/>
          <w:highlight w:val="none"/>
          <w:u w:val="none"/>
        </w:rPr>
        <w:fldChar w:fldCharType="end"/>
      </w:r>
    </w:p>
    <w:p w14:paraId="4F0955F3">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fldChar w:fldCharType="end"/>
      </w:r>
    </w:p>
    <w:p w14:paraId="291910DC">
      <w:pPr>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br w:type="page"/>
      </w:r>
    </w:p>
    <w:p w14:paraId="28CEEC37">
      <w:pPr>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br w:type="page"/>
      </w:r>
    </w:p>
    <w:p w14:paraId="210A6011">
      <w:pPr>
        <w:widowControl/>
        <w:adjustRightInd w:val="0"/>
        <w:snapToGrid w:val="0"/>
        <w:spacing w:line="360" w:lineRule="auto"/>
        <w:jc w:val="left"/>
        <w:rPr>
          <w:rFonts w:hint="default" w:ascii="Times New Roman" w:hAnsi="Times New Roman" w:eastAsia="宋体" w:cs="Times New Roman"/>
          <w:bCs/>
          <w:sz w:val="28"/>
          <w:szCs w:val="28"/>
          <w:highlight w:val="none"/>
          <w:u w:val="none"/>
        </w:rPr>
        <w:sectPr>
          <w:headerReference r:id="rId3" w:type="default"/>
          <w:footerReference r:id="rId5" w:type="default"/>
          <w:headerReference r:id="rId4" w:type="even"/>
          <w:pgSz w:w="11906" w:h="16838"/>
          <w:pgMar w:top="1440" w:right="1800" w:bottom="1440" w:left="1800" w:header="851" w:footer="992" w:gutter="0"/>
          <w:cols w:space="425" w:num="1"/>
          <w:docGrid w:type="lines" w:linePitch="317" w:charSpace="609"/>
        </w:sectPr>
      </w:pPr>
    </w:p>
    <w:p w14:paraId="30FC956F">
      <w:pPr>
        <w:keepNext w:val="0"/>
        <w:keepLines w:val="0"/>
        <w:pageBreakBefore w:val="0"/>
        <w:widowControl w:val="0"/>
        <w:kinsoku/>
        <w:wordWrap/>
        <w:overflowPunct w:val="0"/>
        <w:topLinePunct w:val="0"/>
        <w:autoSpaceDE w:val="0"/>
        <w:autoSpaceDN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十五五”时期是我国基本实现社会主义现代化承上启下的关键时期，也是佳木斯市郊区在新时代实现高质量发展、全面振兴的重要攻坚阶段。《佳木斯市郊区国民经济和社会发展第十五个五年规划纲要》根据党中央、省委、市委相关文件编制，主要阐明佳木斯市郊区经济社会发展导向，明确政府工作重点，引导市场主体行为，是未来五年全区经济社会发展的宏伟蓝图，是全区人民共同的行动纲领，是政府履行经济调控、市场监管、项目谋划、社会管理和公共服务职责的重要依据。</w:t>
      </w:r>
    </w:p>
    <w:p w14:paraId="44C35299">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580" w:lineRule="exact"/>
        <w:ind w:left="0" w:leftChars="0" w:firstLine="0" w:firstLineChars="0"/>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0" w:name="_Toc216985847"/>
      <w:r>
        <w:rPr>
          <w:rFonts w:hint="default" w:ascii="Times New Roman" w:hAnsi="Times New Roman" w:eastAsia="方正小标宋简体" w:cs="Times New Roman"/>
          <w:b w:val="0"/>
          <w:bCs/>
          <w:sz w:val="32"/>
          <w:szCs w:val="32"/>
          <w:highlight w:val="none"/>
          <w:u w:val="none"/>
          <w:lang w:val="zh-CN"/>
        </w:rPr>
        <w:t>第一章 现实基础与发展环境</w:t>
      </w:r>
      <w:bookmarkEnd w:id="0"/>
    </w:p>
    <w:p w14:paraId="5E5E3A1D">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 w:name="_Toc52057445"/>
      <w:bookmarkStart w:id="2" w:name="_Toc56151474"/>
      <w:bookmarkStart w:id="3" w:name="_Toc216985848"/>
      <w:bookmarkStart w:id="4" w:name="_Toc437181439"/>
      <w:r>
        <w:rPr>
          <w:rFonts w:hint="default" w:ascii="Times New Roman" w:hAnsi="Times New Roman" w:eastAsia="黑体" w:cs="Times New Roman"/>
          <w:b w:val="0"/>
          <w:bCs w:val="0"/>
          <w:highlight w:val="none"/>
          <w:u w:val="none"/>
          <w:lang w:val="zh-CN"/>
        </w:rPr>
        <w:t>一、发展成就</w:t>
      </w:r>
      <w:bookmarkEnd w:id="1"/>
      <w:bookmarkEnd w:id="2"/>
      <w:bookmarkEnd w:id="3"/>
    </w:p>
    <w:p w14:paraId="17688A50">
      <w:pPr>
        <w:keepNext w:val="0"/>
        <w:keepLines w:val="0"/>
        <w:pageBreakBefore w:val="0"/>
        <w:widowControl w:val="0"/>
        <w:kinsoku/>
        <w:wordWrap/>
        <w:overflowPunct w:val="0"/>
        <w:topLinePunct w:val="0"/>
        <w:autoSpaceDE w:val="0"/>
        <w:autoSpaceDN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“十四五”时期是佳木斯市郊区发展不平凡的五年，</w:t>
      </w:r>
      <w:bookmarkStart w:id="5" w:name="_Toc438067235"/>
      <w:bookmarkStart w:id="6" w:name="_Toc438042380"/>
      <w:bookmarkStart w:id="7" w:name="_Toc438067925"/>
      <w:r>
        <w:rPr>
          <w:rFonts w:hint="default" w:ascii="Times New Roman" w:hAnsi="Times New Roman" w:eastAsia="仿宋_GB2312" w:cs="Times New Roman"/>
          <w:sz w:val="32"/>
          <w:szCs w:val="32"/>
          <w:highlight w:val="none"/>
          <w:u w:val="none"/>
        </w:rPr>
        <w:t>区委、区政府牢牢把握稳中求进总基调，深入贯彻落实国家、省市的战略部署，坚持以提高发展质量和效益为中心，积极应对预期转弱、需求收缩等因素影响，通过产业升级、动能转换、深化改革、全面开放等举措，推进经济社会高质量发展取得了阶段性成果。</w:t>
      </w:r>
    </w:p>
    <w:p w14:paraId="43A42AA1">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综合实力实现新跨越。</w:t>
      </w:r>
      <w:r>
        <w:rPr>
          <w:rFonts w:hint="default" w:ascii="Times New Roman" w:hAnsi="Times New Roman" w:eastAsia="仿宋_GB2312" w:cs="Times New Roman"/>
          <w:sz w:val="32"/>
          <w:szCs w:val="32"/>
          <w:highlight w:val="none"/>
          <w:u w:val="none"/>
        </w:rPr>
        <w:t>“十四五”期间，各项经济指标稳中有进，地区生产总值、社会消费品零售总额等主要发展指标大幅跃升。202</w:t>
      </w:r>
      <w:r>
        <w:rPr>
          <w:rFonts w:hint="default" w:ascii="Times New Roman" w:hAnsi="Times New Roman" w:eastAsia="仿宋_GB2312" w:cs="Times New Roman"/>
          <w:sz w:val="32"/>
          <w:szCs w:val="32"/>
          <w:highlight w:val="none"/>
          <w:u w:val="none"/>
          <w:lang w:val="en-US" w:eastAsia="zh-CN"/>
        </w:rPr>
        <w:t>5</w:t>
      </w:r>
      <w:r>
        <w:rPr>
          <w:rFonts w:hint="default" w:ascii="Times New Roman" w:hAnsi="Times New Roman" w:eastAsia="仿宋_GB2312" w:cs="Times New Roman"/>
          <w:sz w:val="32"/>
          <w:szCs w:val="32"/>
          <w:highlight w:val="none"/>
          <w:u w:val="none"/>
        </w:rPr>
        <w:t>年</w:t>
      </w:r>
      <w:r>
        <w:rPr>
          <w:rFonts w:hint="default" w:ascii="Times New Roman" w:hAnsi="Times New Roman" w:eastAsia="仿宋_GB2312" w:cs="Times New Roman"/>
          <w:sz w:val="32"/>
          <w:szCs w:val="32"/>
          <w:highlight w:val="none"/>
          <w:u w:val="none"/>
          <w:lang w:val="en-US" w:eastAsia="zh-CN"/>
        </w:rPr>
        <w:t>预计</w:t>
      </w:r>
      <w:r>
        <w:rPr>
          <w:rFonts w:hint="default" w:ascii="Times New Roman" w:hAnsi="Times New Roman" w:eastAsia="仿宋_GB2312" w:cs="Times New Roman"/>
          <w:sz w:val="32"/>
          <w:szCs w:val="32"/>
          <w:highlight w:val="none"/>
          <w:u w:val="none"/>
        </w:rPr>
        <w:t>地区生产总值实现</w:t>
      </w:r>
      <w:r>
        <w:rPr>
          <w:rFonts w:hint="default" w:ascii="Times New Roman" w:hAnsi="Times New Roman" w:eastAsia="仿宋_GB2312" w:cs="Times New Roman"/>
          <w:sz w:val="32"/>
          <w:szCs w:val="32"/>
          <w:highlight w:val="none"/>
          <w:u w:val="none"/>
          <w:lang w:val="en-US" w:eastAsia="zh-CN"/>
        </w:rPr>
        <w:t>92</w:t>
      </w:r>
      <w:r>
        <w:rPr>
          <w:rFonts w:hint="default" w:ascii="Times New Roman" w:hAnsi="Times New Roman" w:eastAsia="仿宋_GB2312" w:cs="Times New Roman"/>
          <w:sz w:val="32"/>
          <w:szCs w:val="32"/>
          <w:highlight w:val="none"/>
          <w:u w:val="none"/>
        </w:rPr>
        <w:t>亿元，农林牧渔业总产值完成5</w:t>
      </w:r>
      <w:r>
        <w:rPr>
          <w:rFonts w:hint="default" w:ascii="Times New Roman" w:hAnsi="Times New Roman" w:eastAsia="仿宋_GB2312" w:cs="Times New Roman"/>
          <w:sz w:val="32"/>
          <w:szCs w:val="32"/>
          <w:highlight w:val="none"/>
          <w:u w:val="none"/>
          <w:lang w:val="en-US" w:eastAsia="zh-CN"/>
        </w:rPr>
        <w:t>3.8</w:t>
      </w:r>
      <w:r>
        <w:rPr>
          <w:rFonts w:hint="default" w:ascii="Times New Roman" w:hAnsi="Times New Roman" w:eastAsia="仿宋_GB2312" w:cs="Times New Roman"/>
          <w:sz w:val="32"/>
          <w:szCs w:val="32"/>
          <w:highlight w:val="none"/>
          <w:u w:val="none"/>
        </w:rPr>
        <w:t>亿元，固定资产投资总额完成</w:t>
      </w:r>
      <w:r>
        <w:rPr>
          <w:rFonts w:hint="default" w:ascii="Times New Roman" w:hAnsi="Times New Roman" w:eastAsia="仿宋_GB2312" w:cs="Times New Roman"/>
          <w:sz w:val="32"/>
          <w:szCs w:val="32"/>
          <w:highlight w:val="none"/>
          <w:u w:val="none"/>
          <w:lang w:val="en-US" w:eastAsia="zh-CN"/>
        </w:rPr>
        <w:t>15.</w:t>
      </w:r>
      <w:r>
        <w:rPr>
          <w:rFonts w:hint="eastAsia" w:ascii="Times New Roman" w:hAnsi="Times New Roman" w:eastAsia="仿宋_GB2312" w:cs="Times New Roman"/>
          <w:sz w:val="32"/>
          <w:szCs w:val="32"/>
          <w:highlight w:val="none"/>
          <w:u w:val="none"/>
          <w:lang w:val="en-US" w:eastAsia="zh-CN"/>
        </w:rPr>
        <w:t>8</w:t>
      </w:r>
      <w:r>
        <w:rPr>
          <w:rFonts w:hint="default" w:ascii="Times New Roman" w:hAnsi="Times New Roman" w:eastAsia="仿宋_GB2312" w:cs="Times New Roman"/>
          <w:sz w:val="32"/>
          <w:szCs w:val="32"/>
          <w:highlight w:val="none"/>
          <w:u w:val="none"/>
        </w:rPr>
        <w:t>亿元，一般公共预算收入完成</w:t>
      </w:r>
      <w:r>
        <w:rPr>
          <w:rFonts w:hint="default" w:ascii="Times New Roman" w:hAnsi="Times New Roman" w:eastAsia="仿宋_GB2312" w:cs="Times New Roman"/>
          <w:sz w:val="32"/>
          <w:szCs w:val="32"/>
          <w:highlight w:val="none"/>
          <w:u w:val="none"/>
          <w:lang w:val="en-US" w:eastAsia="zh-CN"/>
        </w:rPr>
        <w:t>5</w:t>
      </w:r>
      <w:r>
        <w:rPr>
          <w:rFonts w:hint="default" w:ascii="Times New Roman" w:hAnsi="Times New Roman" w:eastAsia="仿宋_GB2312" w:cs="Times New Roman"/>
          <w:sz w:val="32"/>
          <w:szCs w:val="32"/>
          <w:highlight w:val="none"/>
          <w:u w:val="none"/>
        </w:rPr>
        <w:t>亿元，社会消费品零售总额完成</w:t>
      </w:r>
      <w:r>
        <w:rPr>
          <w:rFonts w:hint="default" w:ascii="Times New Roman" w:hAnsi="Times New Roman" w:eastAsia="仿宋_GB2312" w:cs="Times New Roman"/>
          <w:sz w:val="32"/>
          <w:szCs w:val="32"/>
          <w:highlight w:val="none"/>
          <w:u w:val="none"/>
          <w:lang w:val="en-US" w:eastAsia="zh-CN"/>
        </w:rPr>
        <w:t>59.8</w:t>
      </w:r>
      <w:r>
        <w:rPr>
          <w:rFonts w:hint="default" w:ascii="Times New Roman" w:hAnsi="Times New Roman" w:eastAsia="仿宋_GB2312" w:cs="Times New Roman"/>
          <w:sz w:val="32"/>
          <w:szCs w:val="32"/>
          <w:highlight w:val="none"/>
          <w:u w:val="none"/>
        </w:rPr>
        <w:t>亿元，实际利用内资完成</w:t>
      </w:r>
      <w:r>
        <w:rPr>
          <w:rFonts w:hint="default" w:ascii="Times New Roman" w:hAnsi="Times New Roman" w:eastAsia="仿宋_GB2312" w:cs="Times New Roman"/>
          <w:sz w:val="32"/>
          <w:szCs w:val="32"/>
          <w:highlight w:val="none"/>
          <w:u w:val="none"/>
          <w:lang w:val="en-US" w:eastAsia="zh-CN"/>
        </w:rPr>
        <w:t>33.7</w:t>
      </w:r>
      <w:r>
        <w:rPr>
          <w:rFonts w:hint="default" w:ascii="Times New Roman" w:hAnsi="Times New Roman" w:eastAsia="仿宋_GB2312" w:cs="Times New Roman"/>
          <w:sz w:val="32"/>
          <w:szCs w:val="32"/>
          <w:highlight w:val="none"/>
          <w:u w:val="none"/>
        </w:rPr>
        <w:t>亿元，累计对上争取资金11.</w:t>
      </w:r>
      <w:r>
        <w:rPr>
          <w:rFonts w:hint="default" w:ascii="Times New Roman" w:hAnsi="Times New Roman" w:eastAsia="仿宋_GB2312" w:cs="Times New Roman"/>
          <w:sz w:val="32"/>
          <w:szCs w:val="32"/>
          <w:highlight w:val="none"/>
          <w:u w:val="none"/>
          <w:lang w:val="en-US" w:eastAsia="zh-CN"/>
        </w:rPr>
        <w:t>15</w:t>
      </w:r>
      <w:r>
        <w:rPr>
          <w:rFonts w:hint="default" w:ascii="Times New Roman" w:hAnsi="Times New Roman" w:eastAsia="仿宋_GB2312" w:cs="Times New Roman"/>
          <w:sz w:val="32"/>
          <w:szCs w:val="32"/>
          <w:highlight w:val="none"/>
          <w:u w:val="none"/>
        </w:rPr>
        <w:t>亿元，为实现建设现代化强区目标奠定了坚实基础。</w:t>
      </w:r>
    </w:p>
    <w:p w14:paraId="4B0A29ED">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b w:val="0"/>
          <w:bCs w:val="0"/>
          <w:sz w:val="32"/>
          <w:szCs w:val="32"/>
          <w:highlight w:val="none"/>
          <w:u w:val="none"/>
        </w:rPr>
      </w:pPr>
      <w:r>
        <w:rPr>
          <w:rFonts w:hint="default" w:ascii="Times New Roman" w:hAnsi="Times New Roman" w:eastAsia="仿宋_GB2312" w:cs="Times New Roman"/>
          <w:b/>
          <w:bCs/>
          <w:sz w:val="32"/>
          <w:szCs w:val="32"/>
          <w:highlight w:val="none"/>
          <w:u w:val="none"/>
        </w:rPr>
        <w:t>现代农业发展迈上新台阶。</w:t>
      </w:r>
      <w:r>
        <w:rPr>
          <w:rFonts w:hint="default" w:ascii="Times New Roman" w:hAnsi="Times New Roman" w:eastAsia="仿宋_GB2312" w:cs="Times New Roman"/>
          <w:b w:val="0"/>
          <w:bCs w:val="0"/>
          <w:sz w:val="32"/>
          <w:szCs w:val="32"/>
          <w:highlight w:val="none"/>
          <w:u w:val="none"/>
        </w:rPr>
        <w:t>通过千万吨粮食产能提升工程，全区粮食播种面积132万亩，粮食产量达到12亿斤，实现“二十二连丰”。累计建设高标准农田41万亩，完成耕地轮作20万亩以上。大力发展“四个农业”，深入推进良种示范带建设，高端农机装备供给能力持续强化，累计建设省级现代农业科技示范基地6个，国家级绿色食品原料标准化生产基地达到70万亩，农业主推技术到位率稳定在90%以上，农业综合机械化率保持在99%以上。畜牧业结构持续优化，生猪、肉牛、肉羊等养殖规模持续扩大，规模化养殖场达520户。农业品牌化升级加快，通过实施“郊宝贝”品牌提升工程，全区“黑土优品”标识达到17个以上，绿色食品认证总数突破54个，梅花鹿鹿茸被评定为全省首批龙江森林食物“九珍十八品”品牌产品。郊区先后获评为全国水稻高产高效示范县、国家级水稻制种大县、全国生猪调出大县、国家级绿色种养循环试点县，跻身全国（玉米）全产业链重点链。</w:t>
      </w:r>
    </w:p>
    <w:p w14:paraId="42E6478F">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产业转型升级获得新成效。</w:t>
      </w:r>
      <w:r>
        <w:rPr>
          <w:rFonts w:hint="default" w:ascii="Times New Roman" w:hAnsi="Times New Roman" w:eastAsia="仿宋_GB2312" w:cs="Times New Roman"/>
          <w:sz w:val="32"/>
          <w:szCs w:val="32"/>
          <w:highlight w:val="none"/>
          <w:u w:val="none"/>
        </w:rPr>
        <w:t>工业发展活力持续迸发，规模以上工业企业产值从“十三五”末期的29.7亿元增长到</w:t>
      </w:r>
      <w:r>
        <w:rPr>
          <w:rFonts w:hint="default" w:ascii="Times New Roman" w:hAnsi="Times New Roman" w:eastAsia="仿宋_GB2312" w:cs="Times New Roman"/>
          <w:sz w:val="32"/>
          <w:szCs w:val="32"/>
          <w:highlight w:val="none"/>
          <w:u w:val="none"/>
          <w:lang w:val="en-US" w:eastAsia="zh-CN"/>
        </w:rPr>
        <w:t>32</w:t>
      </w:r>
      <w:r>
        <w:rPr>
          <w:rFonts w:hint="default" w:ascii="Times New Roman" w:hAnsi="Times New Roman" w:eastAsia="仿宋_GB2312" w:cs="Times New Roman"/>
          <w:sz w:val="32"/>
          <w:szCs w:val="32"/>
          <w:highlight w:val="none"/>
          <w:u w:val="none"/>
        </w:rPr>
        <w:t>亿元，规上工业企业数量从36家增长至50家。食品、能源、装备、纺织等重点产业规模不断壮大，航天星寰卫星产业中心、龙江交投国际物流港项目等一批重大项目落地。创新正成为驱动经济发展的核心引擎，佳木斯数字创意产业园通过省级科技企业孵化器备案认定，2021年被商务部认定为国家电子商务示范基地</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谷馨源肥业通过省级工程技术研究中心备案认定，全区高新技术企业总量达到</w:t>
      </w:r>
      <w:r>
        <w:rPr>
          <w:rFonts w:hint="default" w:ascii="Times New Roman" w:hAnsi="Times New Roman" w:eastAsia="仿宋_GB2312" w:cs="Times New Roman"/>
          <w:sz w:val="32"/>
          <w:szCs w:val="32"/>
          <w:highlight w:val="none"/>
          <w:u w:val="none"/>
          <w:lang w:val="en-US" w:eastAsia="zh-CN"/>
        </w:rPr>
        <w:t>20</w:t>
      </w:r>
      <w:r>
        <w:rPr>
          <w:rFonts w:hint="default" w:ascii="Times New Roman" w:hAnsi="Times New Roman" w:eastAsia="仿宋_GB2312" w:cs="Times New Roman"/>
          <w:sz w:val="32"/>
          <w:szCs w:val="32"/>
          <w:highlight w:val="none"/>
          <w:u w:val="none"/>
        </w:rPr>
        <w:t>家，入库科技型中小企业</w:t>
      </w:r>
      <w:r>
        <w:rPr>
          <w:rFonts w:hint="default" w:ascii="Times New Roman" w:hAnsi="Times New Roman" w:eastAsia="仿宋_GB2312" w:cs="Times New Roman"/>
          <w:sz w:val="32"/>
          <w:szCs w:val="32"/>
          <w:highlight w:val="none"/>
          <w:u w:val="none"/>
          <w:lang w:val="en-US" w:eastAsia="zh-CN"/>
        </w:rPr>
        <w:t>34</w:t>
      </w:r>
      <w:r>
        <w:rPr>
          <w:rFonts w:hint="default" w:ascii="Times New Roman" w:hAnsi="Times New Roman" w:eastAsia="仿宋_GB2312" w:cs="Times New Roman"/>
          <w:sz w:val="32"/>
          <w:szCs w:val="32"/>
          <w:highlight w:val="none"/>
          <w:u w:val="none"/>
        </w:rPr>
        <w:t>家，位居全市前列。旅游业快速发展，新增万庆稻田公园、奥林射击场、达勒花海3家AAA级景区，黑龙江达勒国家森林公园成为佳木斯城郊游必选地，敖其湾滑雪场、赫哲文化艺术中心、达勒花海等重点景区提档升级，轻奢露营新业态崭露头角，冰雪旅游、休闲农业观光旅游、38公里西线乡村旅游等持续升温，2024年接待游客同比增长40%。</w:t>
      </w:r>
    </w:p>
    <w:p w14:paraId="07E82871">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对外开放合作取得新进展。</w:t>
      </w:r>
      <w:r>
        <w:rPr>
          <w:rFonts w:hint="default" w:ascii="Times New Roman" w:hAnsi="Times New Roman" w:eastAsia="仿宋_GB2312" w:cs="Times New Roman"/>
          <w:sz w:val="32"/>
          <w:szCs w:val="32"/>
          <w:highlight w:val="none"/>
          <w:u w:val="none"/>
        </w:rPr>
        <w:t>对外开放水平不断提高，德邦大为自主研发的</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八行气吸式精细播种机</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顺利打开国际市场。2025年1</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10月大力士煤矿机械进出口额达15</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rPr>
        <w:t>3</w:t>
      </w:r>
      <w:r>
        <w:rPr>
          <w:rFonts w:hint="eastAsia" w:ascii="Times New Roman" w:hAnsi="Times New Roman" w:eastAsia="仿宋_GB2312" w:cs="Times New Roman"/>
          <w:sz w:val="32"/>
          <w:szCs w:val="32"/>
          <w:highlight w:val="none"/>
          <w:u w:val="none"/>
          <w:lang w:val="en-US" w:eastAsia="zh-CN"/>
        </w:rPr>
        <w:t>亿</w:t>
      </w:r>
      <w:r>
        <w:rPr>
          <w:rFonts w:hint="default" w:ascii="Times New Roman" w:hAnsi="Times New Roman" w:eastAsia="仿宋_GB2312" w:cs="Times New Roman"/>
          <w:sz w:val="32"/>
          <w:szCs w:val="32"/>
          <w:highlight w:val="none"/>
          <w:u w:val="none"/>
        </w:rPr>
        <w:t>元，同比增长518.7%。数字外贸开辟新渠道，依托佳木斯（东北亚）跨境电商产业园平台优势，新培育跨境电商主体28家，2025年全区外贸进出口总额预计达到4.5亿元。对外交流渠道不断拓宽，城西职业技术中学与东北农业大学合作办学，选派多名学生采取</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2+1+4</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模式赴俄学习。区域合作持续推进，与周边区县</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市</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在旅游、生态、基础设施等领域合作不断扩大。</w:t>
      </w:r>
    </w:p>
    <w:p w14:paraId="70B3DBE9">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城乡协调发展迈出新步伐。</w:t>
      </w:r>
      <w:r>
        <w:rPr>
          <w:rFonts w:hint="default" w:ascii="Times New Roman" w:hAnsi="Times New Roman" w:eastAsia="仿宋_GB2312" w:cs="Times New Roman"/>
          <w:sz w:val="32"/>
          <w:szCs w:val="32"/>
          <w:highlight w:val="none"/>
          <w:u w:val="none"/>
        </w:rPr>
        <w:t>持续开展农村人居环境专项整治行动，全面实施农村低收入群体危房改造工作，持续深化</w:t>
      </w:r>
      <w:r>
        <w:rPr>
          <w:rFonts w:hint="eastAsia" w:ascii="Times New Roman" w:hAnsi="Times New Roman" w:eastAsia="仿宋_GB2312" w:cs="Times New Roman"/>
          <w:sz w:val="32"/>
          <w:szCs w:val="32"/>
          <w:highlight w:val="none"/>
          <w:u w:val="none"/>
          <w:lang w:eastAsia="zh-CN"/>
        </w:rPr>
        <w:t>推进</w:t>
      </w:r>
      <w:r>
        <w:rPr>
          <w:rFonts w:hint="default" w:ascii="Times New Roman" w:hAnsi="Times New Roman" w:eastAsia="仿宋_GB2312" w:cs="Times New Roman"/>
          <w:sz w:val="32"/>
          <w:szCs w:val="32"/>
          <w:highlight w:val="none"/>
          <w:u w:val="none"/>
        </w:rPr>
        <w:t>农村生活垃圾、农村沟渠等清理，农村生活垃圾无害化处理覆盖所有行政村。城乡基础设施不断优化，完成一批供热管道老化更新改造项目24987.3米、燃气管道改造143.9公里和老旧小区改造项目27个小区170栋12250户93.31万平方米。交通网络体系不断健全，累计完成农村公路11条72公里，安防工程26条62.273公里，危桥改造11座202.36延米。</w:t>
      </w:r>
      <w:r>
        <w:rPr>
          <w:rFonts w:hint="default" w:ascii="Times New Roman" w:hAnsi="Times New Roman" w:eastAsia="仿宋_GB2312" w:cs="Times New Roman"/>
          <w:color w:val="000000"/>
          <w:sz w:val="32"/>
          <w:szCs w:val="32"/>
          <w:highlight w:val="none"/>
          <w:u w:val="none"/>
        </w:rPr>
        <w:t>启动实施宜居宜业和美乡村“双123工程”，</w:t>
      </w:r>
      <w:r>
        <w:rPr>
          <w:rFonts w:hint="default" w:ascii="Times New Roman" w:hAnsi="Times New Roman" w:eastAsia="仿宋_GB2312" w:cs="Times New Roman"/>
          <w:sz w:val="32"/>
          <w:szCs w:val="32"/>
          <w:highlight w:val="none"/>
          <w:u w:val="none"/>
        </w:rPr>
        <w:t>和美乡村建设水平全面提升，全区各行政村生活垃圾全部实现外运及无害化处理，农村卫生厕所普及率达到37.1%以上，农村人居环境整治效果走在全市前列。</w:t>
      </w:r>
    </w:p>
    <w:p w14:paraId="7718D3B1">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重点领域改革实现新突破。</w:t>
      </w:r>
      <w:r>
        <w:rPr>
          <w:rFonts w:hint="default" w:ascii="Times New Roman" w:hAnsi="Times New Roman" w:eastAsia="仿宋_GB2312" w:cs="Times New Roman"/>
          <w:sz w:val="32"/>
          <w:szCs w:val="32"/>
          <w:highlight w:val="none"/>
          <w:u w:val="none"/>
        </w:rPr>
        <w:t>开展国有企业改革深化提升行动，</w:t>
      </w:r>
      <w:r>
        <w:rPr>
          <w:rFonts w:hint="default" w:ascii="Times New Roman" w:hAnsi="Times New Roman" w:eastAsia="仿宋_GB2312" w:cs="Times New Roman"/>
          <w:sz w:val="32"/>
          <w:szCs w:val="32"/>
          <w:highlight w:val="none"/>
          <w:u w:val="none"/>
          <w:lang w:val="en-US" w:eastAsia="zh-CN"/>
        </w:rPr>
        <w:t>26</w:t>
      </w:r>
      <w:r>
        <w:rPr>
          <w:rFonts w:hint="default" w:ascii="Times New Roman" w:hAnsi="Times New Roman" w:eastAsia="仿宋_GB2312" w:cs="Times New Roman"/>
          <w:sz w:val="32"/>
          <w:szCs w:val="32"/>
          <w:highlight w:val="none"/>
          <w:u w:val="none"/>
        </w:rPr>
        <w:t>家区属国有企业营业收入、年化净资产收益等核心指标正向增长，市场竞争优势显著增强。农村综合改革成果显著，国家级农村集体经营性建设用地入市试点取得成效。构建“村社共建”新型经营主体，农业生产托管服务面积达到43.6万亩。持续优化营商环境，国省5</w:t>
      </w:r>
      <w:r>
        <w:rPr>
          <w:rFonts w:hint="default" w:ascii="Times New Roman" w:hAnsi="Times New Roman" w:eastAsia="仿宋_GB2312" w:cs="Times New Roman"/>
          <w:sz w:val="32"/>
          <w:szCs w:val="32"/>
          <w:highlight w:val="none"/>
          <w:u w:val="none"/>
          <w:lang w:val="en-US" w:eastAsia="zh-CN"/>
        </w:rPr>
        <w:t>1</w:t>
      </w:r>
      <w:r>
        <w:rPr>
          <w:rFonts w:hint="default" w:ascii="Times New Roman" w:hAnsi="Times New Roman" w:eastAsia="仿宋_GB2312" w:cs="Times New Roman"/>
          <w:sz w:val="32"/>
          <w:szCs w:val="32"/>
          <w:highlight w:val="none"/>
          <w:u w:val="none"/>
        </w:rPr>
        <w:t>个“高效办成一件事”已全面开通，平均办理时间从33个工作日压减为4个工作日。政府门户网站群众问题答复率100%。</w:t>
      </w:r>
    </w:p>
    <w:p w14:paraId="2ECEE07A">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民生保障水平获得新成就。</w:t>
      </w:r>
      <w:r>
        <w:rPr>
          <w:rFonts w:hint="default" w:ascii="Times New Roman" w:hAnsi="Times New Roman" w:eastAsia="仿宋_GB2312" w:cs="Times New Roman"/>
          <w:sz w:val="32"/>
          <w:szCs w:val="32"/>
          <w:highlight w:val="none"/>
          <w:u w:val="none"/>
        </w:rPr>
        <w:t>养老保险、医疗保险制度实现全覆盖，基本养老保险参保率达到95%以上，城乡低保保障标准较2020年提高60%。积极推进稳岗扩就业，城镇登记失业率始终低于控制目标。退役军人服务保障体系不断完善，服务中心（站）实现全覆盖。城乡办学条件不断改善，学前三年毛入园率达到90%，义务教育巩固率达到100%，高中阶段教育毛入学率达到98%。医疗卫生服务水平不断提升，每千人口拥有执业医生数达3.2名，通过成立基层医疗卫生巡诊团队为偏远地区及行动不便人群提供免费诊疗服务，成功争创省级慢性病防控示范区及省级健康区。依托社区综合便民服务中心，“</w:t>
      </w:r>
      <w:r>
        <w:rPr>
          <w:rFonts w:hint="default" w:ascii="Times New Roman" w:hAnsi="Times New Roman" w:eastAsia="仿宋_GB2312" w:cs="Times New Roman"/>
          <w:sz w:val="32"/>
          <w:szCs w:val="32"/>
          <w:highlight w:val="none"/>
          <w:u w:val="none"/>
          <w:lang w:val="en-US" w:eastAsia="zh-CN"/>
        </w:rPr>
        <w:t>一刻钟</w:t>
      </w:r>
      <w:r>
        <w:rPr>
          <w:rFonts w:hint="default" w:ascii="Times New Roman" w:hAnsi="Times New Roman" w:eastAsia="仿宋_GB2312" w:cs="Times New Roman"/>
          <w:sz w:val="32"/>
          <w:szCs w:val="32"/>
          <w:highlight w:val="none"/>
          <w:u w:val="none"/>
        </w:rPr>
        <w:t>生活保障圈”实现城乡全覆盖。养老服务体系日趋完善，各类养老机构基础设施水平不断提升，建成6家社区居家养老服务中心。</w:t>
      </w:r>
    </w:p>
    <w:p w14:paraId="20239159">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生态发展优势获得新提升。</w:t>
      </w:r>
      <w:r>
        <w:rPr>
          <w:rFonts w:hint="default" w:ascii="Times New Roman" w:hAnsi="Times New Roman" w:eastAsia="仿宋_GB2312" w:cs="Times New Roman"/>
          <w:sz w:val="32"/>
          <w:szCs w:val="32"/>
          <w:highlight w:val="none"/>
          <w:u w:val="none"/>
        </w:rPr>
        <w:t>生态建设成果丰硕，“十四五”期间累计完成</w:t>
      </w:r>
      <w:r>
        <w:rPr>
          <w:rFonts w:hint="default" w:ascii="Times New Roman" w:hAnsi="Times New Roman" w:eastAsia="仿宋_GB2312" w:cs="Times New Roman"/>
          <w:sz w:val="32"/>
          <w:szCs w:val="32"/>
          <w:highlight w:val="none"/>
          <w:u w:val="none"/>
          <w:lang w:val="en-US" w:eastAsia="zh-CN"/>
        </w:rPr>
        <w:t>工程</w:t>
      </w:r>
      <w:r>
        <w:rPr>
          <w:rFonts w:hint="default" w:ascii="Times New Roman" w:hAnsi="Times New Roman" w:eastAsia="仿宋_GB2312" w:cs="Times New Roman"/>
          <w:sz w:val="32"/>
          <w:szCs w:val="32"/>
          <w:highlight w:val="none"/>
          <w:u w:val="none"/>
        </w:rPr>
        <w:t>造林面积976亩。统筹推进山水林田湖草治理，累计完成森林有害生物防治面积14.34万亩，有害生物防治率为100%，森林火灾防控能力全方位提升。大力推进生态文明建设，编制实施《松花江郊区段幸福河湖建设实施方案》，151个河湖岸线利用建设项目和特定活动清理整治专项行动问题全部销号。畜禽规模养殖场污染防治工作力度加大，畜禽规模养殖场粪污处理设施装备配套率达到100%，综合利用率达到84.94%。</w:t>
      </w:r>
    </w:p>
    <w:p w14:paraId="128BEC52">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法治政府建设取得新推进。</w:t>
      </w:r>
      <w:r>
        <w:rPr>
          <w:rFonts w:hint="default" w:ascii="Times New Roman" w:hAnsi="Times New Roman" w:eastAsia="仿宋_GB2312" w:cs="Times New Roman"/>
          <w:sz w:val="32"/>
          <w:szCs w:val="32"/>
          <w:highlight w:val="none"/>
          <w:u w:val="none"/>
        </w:rPr>
        <w:t>全面推进依法行政，逐步形成制度管权、管事、管人的长效机制。积极构建整治工作体系，靶向整治群众反映强烈的突出问题，审计监督效能持续强化。坚持重大事项向人大报告、政协通报，人大代表建议、政协委员提案办结满意度100%。各级人大代表履职意识不断增强、履职能力不断提升。</w:t>
      </w:r>
    </w:p>
    <w:bookmarkEnd w:id="5"/>
    <w:bookmarkEnd w:id="6"/>
    <w:bookmarkEnd w:id="7"/>
    <w:p w14:paraId="4C8C6708">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8" w:name="_Toc216985849"/>
      <w:r>
        <w:rPr>
          <w:rFonts w:hint="default" w:ascii="Times New Roman" w:hAnsi="Times New Roman" w:eastAsia="黑体" w:cs="Times New Roman"/>
          <w:b w:val="0"/>
          <w:bCs w:val="0"/>
          <w:highlight w:val="none"/>
          <w:u w:val="none"/>
          <w:lang w:val="zh-CN"/>
        </w:rPr>
        <w:t>二、发展</w:t>
      </w:r>
      <w:bookmarkEnd w:id="4"/>
      <w:r>
        <w:rPr>
          <w:rFonts w:hint="default" w:ascii="Times New Roman" w:hAnsi="Times New Roman" w:eastAsia="黑体" w:cs="Times New Roman"/>
          <w:b w:val="0"/>
          <w:bCs w:val="0"/>
          <w:highlight w:val="none"/>
          <w:u w:val="none"/>
          <w:lang w:val="zh-CN"/>
        </w:rPr>
        <w:t>环境</w:t>
      </w:r>
      <w:bookmarkEnd w:id="8"/>
    </w:p>
    <w:p w14:paraId="452761CD">
      <w:pPr>
        <w:pStyle w:val="69"/>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未来五年是我国基本实现社会主义现代化承前启后的关键时期，发展环境正在发生复杂而深刻的重大变化，经济社会发展面临的机遇和挑战并存，需要站在新的历史方位对发展环境做出辩证客观精准的判断。</w:t>
      </w:r>
    </w:p>
    <w:p w14:paraId="25AB70D9">
      <w:pPr>
        <w:pStyle w:val="69"/>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 xml:space="preserve">从外部环境看，世界经济增长动能不足，世界百年未有之大变局深度演化，地缘政治复杂多变，经济全球化逆流涌动，大国博弈不断加剧，科技、贸易、军事等各方面的竞争激烈，对我国发展影响的不确定因素增多。同时，新一轮科技革命和产业变革处于加速突破期，人工智能、量子力学、生物制造等新技术展现出巨大市场潜力，为“十五五”发展提供新的机遇。 </w:t>
      </w:r>
    </w:p>
    <w:p w14:paraId="3F78EF3A">
      <w:pPr>
        <w:pStyle w:val="69"/>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从国内看，党的二十届三中全会为进一步全面深化改革、推进中国式现代化增强动力和活力。新型工业化、城镇化和农业现代化同步推进，数字化、智能化加快发展，将进一步提升我国经济社会发展的质量和水平。同时，我国经济运行仍面临不少困难和问题，经济社会发展长期累积的机制性、周期性和结构性矛盾叠加，社会民生和生态环保等方面还存在短板弱项，人口老龄化加快，民生保障和生态环境保护存在短板，成为影响和制约我国“十五五”发展的重要因素。</w:t>
      </w:r>
    </w:p>
    <w:p w14:paraId="76DCE9FE">
      <w:pPr>
        <w:pStyle w:val="69"/>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从省市</w:t>
      </w:r>
      <w:r>
        <w:rPr>
          <w:rFonts w:hint="eastAsia" w:eastAsia="仿宋_GB2312" w:cs="Times New Roman"/>
          <w:sz w:val="32"/>
          <w:szCs w:val="32"/>
          <w:highlight w:val="none"/>
          <w:u w:val="none"/>
          <w:lang w:val="en-US" w:eastAsia="zh-CN"/>
        </w:rPr>
        <w:t>两级</w:t>
      </w:r>
      <w:r>
        <w:rPr>
          <w:rFonts w:hint="default" w:ascii="Times New Roman" w:hAnsi="Times New Roman" w:eastAsia="仿宋_GB2312" w:cs="Times New Roman"/>
          <w:sz w:val="32"/>
          <w:szCs w:val="32"/>
          <w:highlight w:val="none"/>
          <w:u w:val="none"/>
        </w:rPr>
        <w:t>看，新时代推动东北全面振兴战略的加快实施和“五大安全”的战略定位给我省高质量发展带来新的重大机遇。省委、省政府牢牢把握在国家大局中的战略定位，围绕基本实现社会主义现代化目标，提出建好建强“三基地一屏障一高地”、构建“4567”现代产业体系、建设“六个龙江”等战略目标。佳木斯市也提出了以“3510”总体工作布局为牵动，深入实施“三个一号工程”、打造“五大能级载体”、推进“十项重点工作”。随着这些战略举措的落地生效，将进一步为全省、全市高质量振兴蓄势赋能。</w:t>
      </w:r>
    </w:p>
    <w:p w14:paraId="586AA598">
      <w:pPr>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从我区自身发展看，经济社会运行态势总体稳定，城乡建设水平不断提升，人民群众满意度较高，但在发展的道路上仍面临诸多问题和挑战。经济总量偏小，农业基础还不稳固，一二三产融合发展不充分。产业集聚度不高，产业链上下游配套有待完善，土地、人才等要素保障能力不强。民营经济市场主体发育不够，新经济、新业态、新模式等发展不足。财政收支矛盾突出，财政运行压力增大。民生领域欠账依然很多，市场化改革相对滞后等问题仍较突出。个别干部面对新形势新任务新要求，缺少抢抓机遇、锐意赶超的闯劲韧劲，缺乏创业创新精神和抓落实的真本领，放不开手脚、解不开难题、打不开新局面。</w:t>
      </w:r>
    </w:p>
    <w:p w14:paraId="03496BCA">
      <w:pPr>
        <w:pStyle w:val="69"/>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总的看，全区发展处于并将长期处于重要战略机遇期的总体判断没有变，要坚定信心和决心，保持定力和毅力，增强干劲和韧劲，把握新时代的新特征新变化，把政策红利转化为发展实效，加快树立竞争发展优势，加快推动经济社会全面发展，奋力走出一条质量更高、效益更好、结构更优、优势充分释放的高质量发展之路。</w:t>
      </w:r>
    </w:p>
    <w:p w14:paraId="7C424E1D">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580" w:lineRule="exact"/>
        <w:ind w:firstLine="2240" w:firstLineChars="700"/>
        <w:textAlignment w:val="auto"/>
        <w:outlineLvl w:val="0"/>
        <w:rPr>
          <w:rFonts w:hint="default" w:ascii="Times New Roman" w:hAnsi="Times New Roman" w:eastAsia="方正小标宋简体" w:cs="Times New Roman"/>
          <w:b w:val="0"/>
          <w:bCs/>
          <w:sz w:val="32"/>
          <w:szCs w:val="32"/>
          <w:highlight w:val="none"/>
          <w:u w:val="none"/>
          <w:lang w:val="zh-CN"/>
        </w:rPr>
      </w:pPr>
      <w:bookmarkStart w:id="9" w:name="_Toc216985850"/>
      <w:r>
        <w:rPr>
          <w:rFonts w:hint="default" w:ascii="Times New Roman" w:hAnsi="Times New Roman" w:eastAsia="方正小标宋简体" w:cs="Times New Roman"/>
          <w:b w:val="0"/>
          <w:bCs/>
          <w:sz w:val="32"/>
          <w:szCs w:val="32"/>
          <w:highlight w:val="none"/>
          <w:u w:val="none"/>
          <w:lang w:val="zh-CN"/>
        </w:rPr>
        <w:t>第二章 总体要求和发展目标</w:t>
      </w:r>
      <w:bookmarkEnd w:id="9"/>
    </w:p>
    <w:p w14:paraId="48BDFE47">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0" w:name="_Toc216985851"/>
      <w:bookmarkStart w:id="11" w:name="_Hlk205239026"/>
      <w:r>
        <w:rPr>
          <w:rFonts w:hint="default" w:ascii="Times New Roman" w:hAnsi="Times New Roman" w:eastAsia="黑体" w:cs="Times New Roman"/>
          <w:b w:val="0"/>
          <w:bCs w:val="0"/>
          <w:highlight w:val="none"/>
          <w:u w:val="none"/>
          <w:lang w:val="zh-CN"/>
        </w:rPr>
        <w:t>一、指导思想</w:t>
      </w:r>
      <w:bookmarkEnd w:id="10"/>
    </w:p>
    <w:p w14:paraId="77CFC3CD">
      <w:pPr>
        <w:keepNext w:val="0"/>
        <w:keepLines w:val="0"/>
        <w:pageBreakBefore w:val="0"/>
        <w:widowControl w:val="0"/>
        <w:kinsoku/>
        <w:wordWrap/>
        <w:overflowPunct w:val="0"/>
        <w:topLinePunct w:val="0"/>
        <w:autoSpaceDE w:val="0"/>
        <w:autoSpaceDN w:val="0"/>
        <w:bidi w:val="0"/>
        <w:snapToGrid/>
        <w:spacing w:line="580" w:lineRule="exact"/>
        <w:ind w:firstLine="640" w:firstLineChars="200"/>
        <w:textAlignment w:val="auto"/>
        <w:rPr>
          <w:rFonts w:hint="default" w:ascii="Times New Roman" w:hAnsi="Times New Roman" w:eastAsia="方正楷体_GB2312" w:cs="Times New Roman"/>
          <w:color w:val="FF0000"/>
          <w:sz w:val="32"/>
          <w:szCs w:val="32"/>
          <w:highlight w:val="none"/>
          <w:u w:val="none"/>
        </w:rPr>
      </w:pPr>
      <w:r>
        <w:rPr>
          <w:rFonts w:hint="default" w:ascii="Times New Roman" w:hAnsi="Times New Roman" w:eastAsia="仿宋_GB2312" w:cs="Times New Roman"/>
          <w:sz w:val="32"/>
          <w:szCs w:val="32"/>
          <w:highlight w:val="none"/>
          <w:u w:val="none"/>
        </w:rPr>
        <w:t>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w:t>
      </w:r>
      <w:r>
        <w:rPr>
          <w:rFonts w:hint="eastAsia" w:ascii="Times New Roman" w:hAnsi="Times New Roman" w:eastAsia="仿宋_GB2312" w:cs="Times New Roman"/>
          <w:sz w:val="32"/>
          <w:szCs w:val="32"/>
          <w:highlight w:val="none"/>
          <w:u w:val="none"/>
          <w:lang w:eastAsia="zh-CN"/>
        </w:rPr>
        <w:t>统筹国内国际两个大局</w:t>
      </w:r>
      <w:r>
        <w:rPr>
          <w:rFonts w:hint="default" w:ascii="Times New Roman" w:hAnsi="Times New Roman" w:eastAsia="仿宋_GB2312" w:cs="Times New Roman"/>
          <w:sz w:val="32"/>
          <w:szCs w:val="32"/>
          <w:highlight w:val="none"/>
          <w:u w:val="none"/>
        </w:rPr>
        <w:t>，完整准确全面贯彻新发展理念，加快构建新发展格局，坚持稳中求进工作总基调，坚持以经济建设为中心，以推动高质量发展为主题，以改革创新为根本动力，以满足人民日益增长的美好生活需要为根本目的，坚决扛起维护国家“五大安全”政治责任，建好建强“三基地一屏障一高地”，主动融入“六个龙江”“八个振兴”战略布局，锚定</w:t>
      </w:r>
      <w:bookmarkStart w:id="12" w:name="_Hlk214567850"/>
      <w:r>
        <w:rPr>
          <w:rFonts w:hint="default" w:ascii="Times New Roman" w:hAnsi="Times New Roman" w:eastAsia="仿宋_GB2312" w:cs="Times New Roman"/>
          <w:sz w:val="32"/>
          <w:szCs w:val="32"/>
          <w:highlight w:val="none"/>
          <w:u w:val="none"/>
        </w:rPr>
        <w:t>“发展四大主导产业、建强八条产业链”</w:t>
      </w:r>
      <w:bookmarkEnd w:id="12"/>
      <w:r>
        <w:rPr>
          <w:rFonts w:hint="default" w:ascii="Times New Roman" w:hAnsi="Times New Roman" w:eastAsia="仿宋_GB2312" w:cs="Times New Roman"/>
          <w:sz w:val="32"/>
          <w:szCs w:val="32"/>
          <w:highlight w:val="none"/>
          <w:u w:val="none"/>
        </w:rPr>
        <w:t>发展方向，着力推动更高水平开发开放，着力推进治理体系和治理能力现代化，统筹发展和安全，着力增进人民福祉，努力走出一条更有速度、更有质量、更可持续的振兴发展新路，为全面建设社会主义现代化新郊区奠定坚实基础。</w:t>
      </w:r>
    </w:p>
    <w:bookmarkEnd w:id="11"/>
    <w:p w14:paraId="2FC6DF73">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3" w:name="_Toc216985852"/>
      <w:r>
        <w:rPr>
          <w:rFonts w:hint="default" w:ascii="Times New Roman" w:hAnsi="Times New Roman" w:eastAsia="黑体" w:cs="Times New Roman"/>
          <w:b w:val="0"/>
          <w:bCs w:val="0"/>
          <w:highlight w:val="none"/>
          <w:u w:val="none"/>
          <w:lang w:val="zh-CN"/>
        </w:rPr>
        <w:t>二、基本原则</w:t>
      </w:r>
      <w:bookmarkEnd w:id="13"/>
    </w:p>
    <w:p w14:paraId="7EF48C11">
      <w:pPr>
        <w:keepNext w:val="0"/>
        <w:keepLines w:val="0"/>
        <w:pageBreakBefore w:val="0"/>
        <w:widowControl w:val="0"/>
        <w:kinsoku/>
        <w:wordWrap/>
        <w:overflowPunct w:val="0"/>
        <w:topLinePunct w:val="0"/>
        <w:autoSpaceDE w:val="0"/>
        <w:autoSpaceDN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落实上述指导思想，全区“十五五”时期经济社会发展要重点把握好以下原则：</w:t>
      </w:r>
    </w:p>
    <w:p w14:paraId="7295CF18">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b/>
          <w:bCs/>
          <w:color w:val="000000"/>
          <w:sz w:val="32"/>
          <w:szCs w:val="20"/>
          <w:highlight w:val="none"/>
          <w:u w:val="none"/>
        </w:rPr>
        <w:t>坚持党的全面领导。</w:t>
      </w:r>
      <w:r>
        <w:rPr>
          <w:rFonts w:hint="default" w:ascii="Times New Roman" w:hAnsi="Times New Roman" w:eastAsia="仿宋_GB2312" w:cs="Times New Roman"/>
          <w:color w:val="000000"/>
          <w:sz w:val="32"/>
          <w:szCs w:val="20"/>
          <w:highlight w:val="none"/>
          <w:u w:val="none"/>
        </w:rPr>
        <w:t>坚决维护党中央权威和集中统一领导，提高党把方向、谋大局、定政策、促改革能力，全面贯彻落实习近平总书记重要讲话重要指示精神，深入贯彻落实习近平总书记视察我省期间的重要讲话重要指示精神，把党的领导贯穿于经济社会发展各方面全过程，为推动郊区全面振兴提供根本保证。</w:t>
      </w:r>
    </w:p>
    <w:p w14:paraId="7836CDDE">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b/>
          <w:bCs/>
          <w:color w:val="000000"/>
          <w:sz w:val="32"/>
          <w:szCs w:val="20"/>
          <w:highlight w:val="none"/>
          <w:u w:val="none"/>
        </w:rPr>
        <w:t>坚持人民至上。</w:t>
      </w:r>
      <w:r>
        <w:rPr>
          <w:rFonts w:hint="default" w:ascii="Times New Roman" w:hAnsi="Times New Roman" w:eastAsia="仿宋_GB2312" w:cs="Times New Roman"/>
          <w:color w:val="000000"/>
          <w:sz w:val="32"/>
          <w:szCs w:val="20"/>
          <w:highlight w:val="none"/>
          <w:u w:val="none"/>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6984C20B">
      <w:pPr>
        <w:keepNext w:val="0"/>
        <w:keepLines w:val="0"/>
        <w:pageBreakBefore w:val="0"/>
        <w:widowControl w:val="0"/>
        <w:kinsoku/>
        <w:wordWrap/>
        <w:overflowPunct w:val="0"/>
        <w:topLinePunct w:val="0"/>
        <w:bidi w:val="0"/>
        <w:snapToGrid/>
        <w:spacing w:line="580" w:lineRule="exact"/>
        <w:ind w:firstLine="643" w:firstLineChars="200"/>
        <w:textAlignment w:val="auto"/>
        <w:rPr>
          <w:rFonts w:hint="eastAsia" w:ascii="Times New Roman" w:hAnsi="Times New Roman" w:eastAsia="仿宋_GB2312" w:cs="Times New Roman"/>
          <w:color w:val="000000"/>
          <w:sz w:val="32"/>
          <w:szCs w:val="20"/>
          <w:highlight w:val="none"/>
          <w:u w:val="none"/>
          <w:lang w:eastAsia="zh-CN"/>
        </w:rPr>
      </w:pPr>
      <w:r>
        <w:rPr>
          <w:rFonts w:hint="default" w:ascii="Times New Roman" w:hAnsi="Times New Roman" w:eastAsia="仿宋_GB2312" w:cs="Times New Roman"/>
          <w:b/>
          <w:bCs/>
          <w:color w:val="000000"/>
          <w:sz w:val="32"/>
          <w:szCs w:val="20"/>
          <w:highlight w:val="none"/>
          <w:u w:val="none"/>
        </w:rPr>
        <w:t>坚持高质量发展。</w:t>
      </w:r>
      <w:r>
        <w:rPr>
          <w:rFonts w:hint="default" w:ascii="Times New Roman" w:hAnsi="Times New Roman" w:eastAsia="仿宋_GB2312" w:cs="Times New Roman"/>
          <w:color w:val="000000"/>
          <w:sz w:val="32"/>
          <w:szCs w:val="20"/>
          <w:highlight w:val="none"/>
          <w:u w:val="none"/>
        </w:rPr>
        <w:t>以新发展理念引领发展，因地制宜发展新质生产力，建设现代化产业体系，做强国内大循环，畅通</w:t>
      </w:r>
      <w:r>
        <w:rPr>
          <w:rFonts w:hint="eastAsia" w:ascii="Times New Roman" w:hAnsi="Times New Roman" w:eastAsia="仿宋_GB2312" w:cs="Times New Roman"/>
          <w:color w:val="000000"/>
          <w:sz w:val="32"/>
          <w:szCs w:val="20"/>
          <w:highlight w:val="none"/>
          <w:u w:val="none"/>
          <w:lang w:eastAsia="zh-CN"/>
        </w:rPr>
        <w:t>国内国际双循环</w:t>
      </w:r>
      <w:r>
        <w:rPr>
          <w:rFonts w:hint="default" w:ascii="Times New Roman" w:hAnsi="Times New Roman" w:eastAsia="仿宋_GB2312" w:cs="Times New Roman"/>
          <w:color w:val="000000"/>
          <w:sz w:val="32"/>
          <w:szCs w:val="20"/>
          <w:highlight w:val="none"/>
          <w:u w:val="none"/>
        </w:rPr>
        <w:t>，统筹扩大内需和深化供给侧结构性改革，加快培育新动能，促进经济结构优化升级，做优增量、盘活存量，推动经济持续健康发展和社会全面进步</w:t>
      </w:r>
      <w:r>
        <w:rPr>
          <w:rFonts w:hint="eastAsia" w:ascii="Times New Roman" w:hAnsi="Times New Roman" w:eastAsia="仿宋_GB2312" w:cs="Times New Roman"/>
          <w:color w:val="000000"/>
          <w:sz w:val="32"/>
          <w:szCs w:val="20"/>
          <w:highlight w:val="none"/>
          <w:u w:val="none"/>
          <w:lang w:eastAsia="zh-CN"/>
        </w:rPr>
        <w:t>。</w:t>
      </w:r>
    </w:p>
    <w:p w14:paraId="004F8756">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b/>
          <w:bCs/>
          <w:color w:val="000000"/>
          <w:sz w:val="32"/>
          <w:szCs w:val="20"/>
          <w:highlight w:val="none"/>
          <w:u w:val="none"/>
        </w:rPr>
        <w:t>坚持全面深化改革开放。</w:t>
      </w:r>
      <w:r>
        <w:rPr>
          <w:rFonts w:hint="default" w:ascii="Times New Roman" w:hAnsi="Times New Roman" w:eastAsia="仿宋_GB2312" w:cs="Times New Roman"/>
          <w:color w:val="000000"/>
          <w:sz w:val="32"/>
          <w:szCs w:val="20"/>
          <w:highlight w:val="none"/>
          <w:u w:val="none"/>
        </w:rPr>
        <w:t>聚焦制约高质量发展的体制机制障碍，推进深层次改革，扩大高水平开放，推动</w:t>
      </w:r>
      <w:r>
        <w:rPr>
          <w:rFonts w:hint="eastAsia" w:ascii="Times New Roman" w:hAnsi="Times New Roman" w:eastAsia="仿宋_GB2312" w:cs="Times New Roman"/>
          <w:color w:val="000000"/>
          <w:sz w:val="32"/>
          <w:szCs w:val="20"/>
          <w:highlight w:val="none"/>
          <w:u w:val="none"/>
          <w:lang w:eastAsia="zh-CN"/>
        </w:rPr>
        <w:t>生产关系和生产力、上层建筑和经济基础、国家治理和社会发展更好相适应</w:t>
      </w:r>
      <w:r>
        <w:rPr>
          <w:rFonts w:hint="default" w:ascii="Times New Roman" w:hAnsi="Times New Roman" w:eastAsia="仿宋_GB2312" w:cs="Times New Roman"/>
          <w:color w:val="000000"/>
          <w:sz w:val="32"/>
          <w:szCs w:val="20"/>
          <w:highlight w:val="none"/>
          <w:u w:val="none"/>
        </w:rPr>
        <w:t>，持续增强发展动力和社会活力，以新的改革开放实践纵深推进现代化郊区建设。</w:t>
      </w:r>
    </w:p>
    <w:p w14:paraId="364798C9">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b/>
          <w:bCs/>
          <w:color w:val="000000"/>
          <w:sz w:val="32"/>
          <w:szCs w:val="20"/>
          <w:highlight w:val="none"/>
          <w:u w:val="none"/>
        </w:rPr>
        <w:t>坚持有效市场和有为政府相结合。</w:t>
      </w:r>
      <w:r>
        <w:rPr>
          <w:rFonts w:hint="default" w:ascii="Times New Roman" w:hAnsi="Times New Roman" w:eastAsia="仿宋_GB2312" w:cs="Times New Roman"/>
          <w:color w:val="000000"/>
          <w:sz w:val="32"/>
          <w:szCs w:val="20"/>
          <w:highlight w:val="none"/>
          <w:u w:val="none"/>
        </w:rPr>
        <w:t>充分发挥市场在资源配置中的决定性作用，更好发挥政府作用，主动融入全国统一大市场，建设法治经济、信用经济，打造市场化、法治化、国际化一流营商环境，形成既“放得活”又“管得好”的经济秩序。</w:t>
      </w:r>
    </w:p>
    <w:p w14:paraId="49D749F4">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b/>
          <w:bCs/>
          <w:color w:val="000000"/>
          <w:sz w:val="32"/>
          <w:szCs w:val="20"/>
          <w:highlight w:val="none"/>
          <w:u w:val="none"/>
        </w:rPr>
        <w:t>坚持统筹发展和安全。</w:t>
      </w:r>
      <w:r>
        <w:rPr>
          <w:rFonts w:hint="default" w:ascii="Times New Roman" w:hAnsi="Times New Roman" w:eastAsia="仿宋_GB2312" w:cs="Times New Roman"/>
          <w:sz w:val="32"/>
          <w:szCs w:val="32"/>
          <w:highlight w:val="none"/>
          <w:u w:val="none"/>
        </w:rPr>
        <w:t>坚持高质量发展和高水平安全良性互动，在发展中固安全、在安全中谋发展，扛牢维护国家“五大安全”重大使命责任，强化底线思维，有效防范化解各类风险，增强经济和社会韧性，提高本质安全水平，提高维护国家政治、经济、文化、社会等领域安全能力，以新安全格局保障新发展格局</w:t>
      </w:r>
      <w:r>
        <w:rPr>
          <w:rFonts w:hint="default" w:ascii="Times New Roman" w:hAnsi="Times New Roman" w:eastAsia="仿宋_GB2312" w:cs="Times New Roman"/>
          <w:color w:val="000000"/>
          <w:sz w:val="32"/>
          <w:szCs w:val="20"/>
          <w:highlight w:val="none"/>
          <w:u w:val="none"/>
        </w:rPr>
        <w:t>。</w:t>
      </w:r>
    </w:p>
    <w:p w14:paraId="24732D36">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4" w:name="_Toc216985853"/>
      <w:bookmarkStart w:id="15" w:name="_Hlk205239075"/>
      <w:r>
        <w:rPr>
          <w:rFonts w:hint="default" w:ascii="Times New Roman" w:hAnsi="Times New Roman" w:eastAsia="黑体" w:cs="Times New Roman"/>
          <w:b w:val="0"/>
          <w:bCs w:val="0"/>
          <w:highlight w:val="none"/>
          <w:u w:val="none"/>
          <w:lang w:val="zh-CN"/>
        </w:rPr>
        <w:t>三、发展定位</w:t>
      </w:r>
      <w:bookmarkEnd w:id="14"/>
    </w:p>
    <w:p w14:paraId="158DE21D">
      <w:pPr>
        <w:keepNext w:val="0"/>
        <w:keepLines w:val="0"/>
        <w:pageBreakBefore w:val="0"/>
        <w:widowControl w:val="0"/>
        <w:kinsoku/>
        <w:wordWrap/>
        <w:overflowPunct w:val="0"/>
        <w:topLinePunct w:val="0"/>
        <w:bidi w:val="0"/>
        <w:adjustRightInd/>
        <w:snapToGrid/>
        <w:spacing w:line="580" w:lineRule="exact"/>
        <w:ind w:firstLine="640" w:firstLineChars="200"/>
        <w:textAlignment w:val="auto"/>
        <w:rPr>
          <w:rFonts w:hint="default" w:ascii="Times New Roman" w:hAnsi="Times New Roman" w:eastAsia="仿宋_GB2312" w:cs="Times New Roman"/>
          <w:color w:val="000000"/>
          <w:sz w:val="32"/>
          <w:szCs w:val="20"/>
          <w:highlight w:val="none"/>
          <w:u w:val="none"/>
        </w:rPr>
      </w:pPr>
      <w:r>
        <w:rPr>
          <w:rFonts w:hint="default" w:ascii="Times New Roman" w:hAnsi="Times New Roman" w:eastAsia="仿宋_GB2312" w:cs="Times New Roman"/>
          <w:sz w:val="32"/>
          <w:szCs w:val="32"/>
          <w:highlight w:val="none"/>
          <w:u w:val="none"/>
        </w:rPr>
        <w:t>深入落实党中央关于推动新时代东北全面振兴的战略部署，紧紧围绕“现代化强区建设”发展目标，以新质生产力发展为核心驱动力，进一步激发活力动力，着力打造产业强区、物流高地、生态新城、幸福郊区，努力开创高质量振兴发展新局面。</w:t>
      </w:r>
    </w:p>
    <w:p w14:paraId="7AA057D1">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bookmarkStart w:id="16" w:name="_Hlk205129306"/>
      <w:r>
        <w:rPr>
          <w:rFonts w:hint="default" w:ascii="Times New Roman" w:hAnsi="Times New Roman" w:eastAsia="仿宋_GB2312" w:cs="Times New Roman"/>
          <w:b/>
          <w:bCs/>
          <w:sz w:val="32"/>
          <w:szCs w:val="32"/>
          <w:highlight w:val="none"/>
          <w:u w:val="none"/>
        </w:rPr>
        <w:t>产业强区</w:t>
      </w:r>
      <w:bookmarkEnd w:id="16"/>
      <w:r>
        <w:rPr>
          <w:rFonts w:hint="default" w:ascii="Times New Roman" w:hAnsi="Times New Roman" w:eastAsia="仿宋_GB2312" w:cs="Times New Roman"/>
          <w:b/>
          <w:bCs/>
          <w:sz w:val="32"/>
          <w:szCs w:val="32"/>
          <w:highlight w:val="none"/>
          <w:u w:val="none"/>
        </w:rPr>
        <w:t>。</w:t>
      </w:r>
      <w:r>
        <w:rPr>
          <w:rFonts w:hint="default" w:ascii="Times New Roman" w:hAnsi="Times New Roman" w:eastAsia="仿宋_GB2312" w:cs="Times New Roman"/>
          <w:sz w:val="32"/>
          <w:szCs w:val="32"/>
          <w:highlight w:val="none"/>
          <w:u w:val="none"/>
        </w:rPr>
        <w:t>依托郊区发展基础、区位优势、资源禀赋，坚持推动新质生产力，锚定“发展四大主导产业、建强八条产业链”目标，推动食品、装备、纺织等传统产业转型升级，重点培育现代物流、文旅康养、电子商务等新经济引擎，打造全市产业集群化发展的主引擎和主阵地。推动乡镇依据自身优势，发展绿色食品、文化旅游等特色产业，实现角色转变，打造全区产业发展重要承载区。</w:t>
      </w:r>
    </w:p>
    <w:p w14:paraId="79A9C8AF">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物流高地。</w:t>
      </w:r>
      <w:r>
        <w:rPr>
          <w:rFonts w:hint="default" w:ascii="Times New Roman" w:hAnsi="Times New Roman" w:eastAsia="仿宋_GB2312" w:cs="Times New Roman"/>
          <w:sz w:val="32"/>
          <w:szCs w:val="32"/>
          <w:highlight w:val="none"/>
          <w:u w:val="none"/>
        </w:rPr>
        <w:t>发挥佳木斯国际物流港承载功能，有效解决物流分配压力，降低社会物流成本</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持续</w:t>
      </w:r>
      <w:r>
        <w:rPr>
          <w:rFonts w:hint="default" w:ascii="Times New Roman" w:hAnsi="Times New Roman" w:eastAsia="仿宋_GB2312" w:cs="Times New Roman"/>
          <w:sz w:val="32"/>
          <w:szCs w:val="32"/>
          <w:highlight w:val="none"/>
          <w:u w:val="none"/>
        </w:rPr>
        <w:t>优化城乡物流资源配置</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提升农村物流效率，积极拓展郊区冷链物流产业规模</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建立立足佳木斯、融合城乡、辐射全省、链接全球的</w:t>
      </w:r>
      <w:r>
        <w:rPr>
          <w:rFonts w:hint="eastAsia" w:ascii="Times New Roman" w:hAnsi="Times New Roman" w:eastAsia="仿宋_GB2312" w:cs="Times New Roman"/>
          <w:sz w:val="32"/>
          <w:szCs w:val="32"/>
          <w:highlight w:val="none"/>
          <w:u w:val="none"/>
          <w:lang w:eastAsia="zh-CN"/>
        </w:rPr>
        <w:t>现代商贸流通体系</w:t>
      </w:r>
      <w:r>
        <w:rPr>
          <w:rFonts w:hint="default" w:ascii="Times New Roman" w:hAnsi="Times New Roman" w:eastAsia="仿宋_GB2312" w:cs="Times New Roman"/>
          <w:sz w:val="32"/>
          <w:szCs w:val="32"/>
          <w:highlight w:val="none"/>
          <w:u w:val="none"/>
        </w:rPr>
        <w:t>。</w:t>
      </w:r>
    </w:p>
    <w:p w14:paraId="12045E2F">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宋体" w:cs="Times New Roman"/>
          <w:b w:val="0"/>
          <w:i w:val="0"/>
          <w:iCs w:val="0"/>
          <w:caps w:val="0"/>
          <w:strike w:val="0"/>
          <w:color w:val="auto"/>
          <w:spacing w:val="0"/>
          <w:kern w:val="0"/>
          <w:sz w:val="24"/>
          <w:szCs w:val="18"/>
          <w:highlight w:val="none"/>
          <w:u w:val="none"/>
          <w:lang w:val="en-US" w:eastAsia="zh-CN" w:bidi="ar"/>
        </w:rPr>
      </w:pPr>
      <w:r>
        <w:rPr>
          <w:rFonts w:hint="default" w:ascii="Times New Roman" w:hAnsi="Times New Roman" w:eastAsia="仿宋_GB2312" w:cs="Times New Roman"/>
          <w:b/>
          <w:bCs/>
          <w:sz w:val="32"/>
          <w:szCs w:val="32"/>
          <w:highlight w:val="none"/>
          <w:u w:val="none"/>
        </w:rPr>
        <w:t>生态新城。</w:t>
      </w:r>
      <w:r>
        <w:rPr>
          <w:rFonts w:hint="default" w:ascii="Times New Roman" w:hAnsi="Times New Roman" w:eastAsia="仿宋_GB2312" w:cs="Times New Roman"/>
          <w:sz w:val="32"/>
          <w:szCs w:val="32"/>
          <w:highlight w:val="none"/>
          <w:u w:val="none"/>
        </w:rPr>
        <w:t>以生态优先、绿色发展为导向</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以郊区中心城区为核心，以所辖乡镇为支撑，</w:t>
      </w:r>
      <w:r>
        <w:rPr>
          <w:rFonts w:hint="default" w:ascii="Times New Roman" w:hAnsi="Times New Roman" w:eastAsia="仿宋_GB2312" w:cs="Times New Roman"/>
          <w:sz w:val="32"/>
          <w:szCs w:val="32"/>
          <w:highlight w:val="none"/>
          <w:u w:val="none"/>
          <w:lang w:val="en-US" w:eastAsia="zh-CN"/>
        </w:rPr>
        <w:t>一体化推动</w:t>
      </w:r>
      <w:r>
        <w:rPr>
          <w:rFonts w:hint="default" w:ascii="Times New Roman" w:hAnsi="Times New Roman" w:eastAsia="仿宋_GB2312" w:cs="Times New Roman"/>
          <w:sz w:val="32"/>
          <w:szCs w:val="32"/>
          <w:highlight w:val="none"/>
          <w:u w:val="none"/>
        </w:rPr>
        <w:t>生态环境</w:t>
      </w:r>
      <w:r>
        <w:rPr>
          <w:rFonts w:hint="default" w:ascii="Times New Roman" w:hAnsi="Times New Roman" w:eastAsia="仿宋_GB2312" w:cs="Times New Roman"/>
          <w:sz w:val="32"/>
          <w:szCs w:val="32"/>
          <w:highlight w:val="none"/>
          <w:u w:val="none"/>
          <w:lang w:val="en-US" w:eastAsia="zh-CN"/>
        </w:rPr>
        <w:t>建设与</w:t>
      </w:r>
      <w:r>
        <w:rPr>
          <w:rFonts w:hint="default" w:ascii="Times New Roman" w:hAnsi="Times New Roman" w:eastAsia="仿宋_GB2312" w:cs="Times New Roman"/>
          <w:sz w:val="32"/>
          <w:szCs w:val="32"/>
          <w:highlight w:val="none"/>
          <w:u w:val="none"/>
        </w:rPr>
        <w:t>产业、基础设施、公共服务</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乡村振兴等</w:t>
      </w:r>
      <w:r>
        <w:rPr>
          <w:rFonts w:hint="default" w:ascii="Times New Roman" w:hAnsi="Times New Roman" w:eastAsia="仿宋_GB2312" w:cs="Times New Roman"/>
          <w:sz w:val="32"/>
          <w:szCs w:val="32"/>
          <w:highlight w:val="none"/>
          <w:u w:val="none"/>
          <w:lang w:val="en-US" w:eastAsia="zh-CN"/>
        </w:rPr>
        <w:t>共同发展</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加快郊区</w:t>
      </w:r>
      <w:r>
        <w:rPr>
          <w:rFonts w:hint="default" w:ascii="Times New Roman" w:hAnsi="Times New Roman" w:eastAsia="仿宋_GB2312" w:cs="Times New Roman"/>
          <w:sz w:val="32"/>
          <w:szCs w:val="32"/>
          <w:highlight w:val="none"/>
          <w:u w:val="none"/>
        </w:rPr>
        <w:t>生态产品价值有效转化</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打造设施完善、功能齐全、环境优良、绿色文明的</w:t>
      </w:r>
      <w:r>
        <w:rPr>
          <w:rFonts w:hint="default" w:ascii="Times New Roman" w:hAnsi="Times New Roman" w:eastAsia="仿宋_GB2312" w:cs="Times New Roman"/>
          <w:sz w:val="32"/>
          <w:szCs w:val="32"/>
          <w:highlight w:val="none"/>
          <w:u w:val="none"/>
          <w:lang w:val="en-US" w:eastAsia="zh-CN"/>
        </w:rPr>
        <w:t>现代化</w:t>
      </w:r>
      <w:r>
        <w:rPr>
          <w:rFonts w:hint="default" w:ascii="Times New Roman" w:hAnsi="Times New Roman" w:eastAsia="仿宋_GB2312" w:cs="Times New Roman"/>
          <w:kern w:val="2"/>
          <w:sz w:val="32"/>
          <w:szCs w:val="32"/>
          <w:highlight w:val="none"/>
          <w:u w:val="none"/>
          <w:lang w:val="en-US" w:eastAsia="zh-CN" w:bidi="ar-SA"/>
        </w:rPr>
        <w:fldChar w:fldCharType="begin"/>
      </w:r>
      <w:r>
        <w:rPr>
          <w:rFonts w:hint="default" w:ascii="Times New Roman" w:hAnsi="Times New Roman" w:eastAsia="仿宋_GB2312" w:cs="Times New Roman"/>
          <w:kern w:val="2"/>
          <w:sz w:val="32"/>
          <w:szCs w:val="32"/>
          <w:highlight w:val="none"/>
          <w:u w:val="none"/>
          <w:lang w:val="en-US" w:eastAsia="zh-CN" w:bidi="ar-SA"/>
        </w:rPr>
        <w:instrText xml:space="preserve"> HYPERLINK "https://www.baidu.com/link?url=8RYLiiIQZPXZ7NBPBwUF4M5AyFnfpK8M2ZA2pioe6Wv-M5rRTF1itSktxX53IBKEngWByyEpvbovyOezGP08tekKj98jxXRx0quLls7jsbW_u--eryydYp21EkYkgv0i6w48tpTJBbnxZB--Cfs2DUhD6gR_nc9lTmMvgl__loj7HTjeNUG3bWPGdg4-YkuDt83lRisi9B4YdmEunL0yoN50XSTL9rxO5jpb-JgSCg-sXRhZ_IN99o1TO7zmUyCNC7w38ym7N5mB9UM1Jy_sSq&amp;wd=&amp;eqid=a4f98b8f0002bc2000000003694d2b5f" \t "https://www.baidu.com/_blank" </w:instrText>
      </w:r>
      <w:r>
        <w:rPr>
          <w:rFonts w:hint="default" w:ascii="Times New Roman" w:hAnsi="Times New Roman" w:eastAsia="仿宋_GB2312" w:cs="Times New Roman"/>
          <w:kern w:val="2"/>
          <w:sz w:val="32"/>
          <w:szCs w:val="32"/>
          <w:highlight w:val="none"/>
          <w:u w:val="none"/>
          <w:lang w:val="en-US" w:eastAsia="zh-CN" w:bidi="ar-SA"/>
        </w:rPr>
        <w:fldChar w:fldCharType="separate"/>
      </w:r>
      <w:r>
        <w:rPr>
          <w:rFonts w:hint="default" w:ascii="Times New Roman" w:hAnsi="Times New Roman" w:eastAsia="仿宋_GB2312" w:cs="Times New Roman"/>
          <w:kern w:val="2"/>
          <w:sz w:val="32"/>
          <w:szCs w:val="32"/>
          <w:highlight w:val="none"/>
          <w:u w:val="none"/>
          <w:lang w:val="en-US" w:eastAsia="zh-CN" w:bidi="ar-SA"/>
        </w:rPr>
        <w:t>城区。</w:t>
      </w:r>
      <w:r>
        <w:rPr>
          <w:rFonts w:hint="default" w:ascii="Times New Roman" w:hAnsi="Times New Roman" w:eastAsia="宋体" w:cs="Times New Roman"/>
          <w:b w:val="0"/>
          <w:i w:val="0"/>
          <w:iCs w:val="0"/>
          <w:caps w:val="0"/>
          <w:strike w:val="0"/>
          <w:color w:val="auto"/>
          <w:spacing w:val="0"/>
          <w:kern w:val="0"/>
          <w:sz w:val="24"/>
          <w:szCs w:val="18"/>
          <w:highlight w:val="none"/>
          <w:u w:val="none"/>
          <w:lang w:val="en-US" w:eastAsia="zh-CN" w:bidi="ar"/>
        </w:rPr>
        <w:fldChar w:fldCharType="end"/>
      </w:r>
    </w:p>
    <w:p w14:paraId="71F81923">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幸福郊区。</w:t>
      </w:r>
      <w:r>
        <w:rPr>
          <w:rFonts w:hint="default" w:ascii="Times New Roman" w:hAnsi="Times New Roman" w:eastAsia="仿宋_GB2312" w:cs="Times New Roman"/>
          <w:sz w:val="32"/>
          <w:szCs w:val="32"/>
          <w:highlight w:val="none"/>
          <w:u w:val="none"/>
        </w:rPr>
        <w:t>牢固树立以人民为中心的发展理念</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持续推进</w:t>
      </w:r>
      <w:r>
        <w:rPr>
          <w:rFonts w:hint="default" w:ascii="Times New Roman" w:hAnsi="Times New Roman" w:eastAsia="仿宋_GB2312" w:cs="Times New Roman"/>
          <w:sz w:val="32"/>
          <w:szCs w:val="32"/>
          <w:highlight w:val="none"/>
          <w:u w:val="none"/>
          <w:lang w:eastAsia="zh-CN"/>
        </w:rPr>
        <w:t>民生幸福工程</w:t>
      </w:r>
      <w:r>
        <w:rPr>
          <w:rFonts w:hint="default" w:ascii="Times New Roman" w:hAnsi="Times New Roman" w:eastAsia="仿宋_GB2312" w:cs="Times New Roman"/>
          <w:sz w:val="32"/>
          <w:szCs w:val="32"/>
          <w:highlight w:val="none"/>
          <w:u w:val="none"/>
        </w:rPr>
        <w:t>，健全完善医疗、教育</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卫生等基本公共服务体系</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巩固提升平安城区建设</w:t>
      </w:r>
      <w:r>
        <w:rPr>
          <w:rFonts w:hint="default" w:ascii="Times New Roman" w:hAnsi="Times New Roman" w:eastAsia="仿宋_GB2312" w:cs="Times New Roman"/>
          <w:sz w:val="32"/>
          <w:szCs w:val="32"/>
          <w:highlight w:val="none"/>
          <w:u w:val="none"/>
          <w:lang w:val="en-US" w:eastAsia="zh-CN"/>
        </w:rPr>
        <w:t>水平</w:t>
      </w:r>
      <w:r>
        <w:rPr>
          <w:rFonts w:hint="default" w:ascii="Times New Roman" w:hAnsi="Times New Roman" w:eastAsia="仿宋_GB2312" w:cs="Times New Roman"/>
          <w:sz w:val="32"/>
          <w:szCs w:val="32"/>
          <w:highlight w:val="none"/>
          <w:u w:val="none"/>
        </w:rPr>
        <w:t>，实现社会治理共建共治共享，</w:t>
      </w:r>
      <w:r>
        <w:rPr>
          <w:rFonts w:hint="default" w:ascii="Times New Roman" w:hAnsi="Times New Roman" w:eastAsia="仿宋_GB2312" w:cs="Times New Roman"/>
          <w:sz w:val="32"/>
          <w:szCs w:val="32"/>
          <w:highlight w:val="none"/>
          <w:u w:val="none"/>
          <w:lang w:val="en-US" w:eastAsia="zh-CN"/>
        </w:rPr>
        <w:t>打造</w:t>
      </w:r>
      <w:r>
        <w:rPr>
          <w:rFonts w:hint="default" w:ascii="Times New Roman" w:hAnsi="Times New Roman" w:eastAsia="仿宋_GB2312" w:cs="Times New Roman"/>
          <w:sz w:val="32"/>
          <w:szCs w:val="32"/>
          <w:highlight w:val="none"/>
          <w:u w:val="none"/>
        </w:rPr>
        <w:t>让群众幸福安康、社会和谐稳定</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人民生活更有品质更有尊严的宜居宜业新郊区。</w:t>
      </w:r>
    </w:p>
    <w:bookmarkEnd w:id="15"/>
    <w:p w14:paraId="0059A172">
      <w:pPr>
        <w:pStyle w:val="3"/>
        <w:keepNext w:val="0"/>
        <w:keepLines w:val="0"/>
        <w:pageBreakBefore w:val="0"/>
        <w:widowControl w:val="0"/>
        <w:kinsoku/>
        <w:wordWrap/>
        <w:overflowPunct w:val="0"/>
        <w:topLinePunct w:val="0"/>
        <w:bidi w:val="0"/>
        <w:snapToGrid/>
        <w:spacing w:before="0" w:after="0" w:line="580" w:lineRule="exact"/>
        <w:ind w:firstLine="643" w:firstLineChars="200"/>
        <w:textAlignment w:val="auto"/>
        <w:rPr>
          <w:rFonts w:hint="default" w:ascii="Times New Roman" w:hAnsi="Times New Roman" w:cs="Times New Roman"/>
          <w:highlight w:val="none"/>
          <w:u w:val="none"/>
          <w:lang w:val="zh-CN"/>
        </w:rPr>
      </w:pPr>
      <w:bookmarkStart w:id="17" w:name="_Toc216985854"/>
      <w:r>
        <w:rPr>
          <w:rFonts w:hint="default" w:ascii="Times New Roman" w:hAnsi="Times New Roman" w:cs="Times New Roman"/>
          <w:highlight w:val="none"/>
          <w:u w:val="none"/>
          <w:lang w:val="zh-CN"/>
        </w:rPr>
        <w:t>四、</w:t>
      </w:r>
      <w:r>
        <w:rPr>
          <w:rFonts w:hint="default" w:ascii="Times New Roman" w:hAnsi="Times New Roman" w:cs="Times New Roman"/>
          <w:highlight w:val="none"/>
          <w:u w:val="none"/>
        </w:rPr>
        <w:t>发展</w:t>
      </w:r>
      <w:r>
        <w:rPr>
          <w:rFonts w:hint="default" w:ascii="Times New Roman" w:hAnsi="Times New Roman" w:cs="Times New Roman"/>
          <w:highlight w:val="none"/>
          <w:u w:val="none"/>
          <w:lang w:val="zh-CN"/>
        </w:rPr>
        <w:t>目标</w:t>
      </w:r>
      <w:bookmarkEnd w:id="17"/>
    </w:p>
    <w:p w14:paraId="08487F98">
      <w:pPr>
        <w:keepNext w:val="0"/>
        <w:keepLines w:val="0"/>
        <w:pageBreakBefore w:val="0"/>
        <w:widowControl w:val="0"/>
        <w:kinsoku/>
        <w:wordWrap/>
        <w:overflowPunct w:val="0"/>
        <w:topLinePunct w:val="0"/>
        <w:bidi w:val="0"/>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“十五五”期间，按照为基本实现现代化奠定基础的宏伟蓝图，全区人民接续奋斗，力争各项事业取得重大进展，努力实现以下目标。</w:t>
      </w:r>
    </w:p>
    <w:p w14:paraId="1E516FDB">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经济发展跃上新台阶。</w:t>
      </w:r>
      <w:r>
        <w:rPr>
          <w:rFonts w:hint="default" w:ascii="Times New Roman" w:hAnsi="Times New Roman" w:eastAsia="仿宋_GB2312" w:cs="Times New Roman"/>
          <w:sz w:val="32"/>
          <w:szCs w:val="32"/>
          <w:highlight w:val="none"/>
          <w:u w:val="none"/>
        </w:rPr>
        <w:t>经济保持中高速增长，地区生产总值年均增长</w:t>
      </w:r>
      <w:r>
        <w:rPr>
          <w:rFonts w:hint="default" w:ascii="Times New Roman" w:hAnsi="Times New Roman" w:eastAsia="仿宋_GB2312" w:cs="Times New Roman"/>
          <w:sz w:val="32"/>
          <w:szCs w:val="32"/>
          <w:highlight w:val="none"/>
          <w:u w:val="none"/>
          <w:lang w:val="en-US" w:eastAsia="zh-CN"/>
        </w:rPr>
        <w:t>5.5%以上</w:t>
      </w:r>
      <w:r>
        <w:rPr>
          <w:rFonts w:hint="default" w:ascii="Times New Roman" w:hAnsi="Times New Roman" w:eastAsia="仿宋_GB2312" w:cs="Times New Roman"/>
          <w:sz w:val="32"/>
          <w:szCs w:val="32"/>
          <w:highlight w:val="none"/>
          <w:u w:val="none"/>
        </w:rPr>
        <w:t>，一般公共预算收入年均增长10%左右，规上工业增加值年均增长5%以上，社会消费品零售总额年均增长5%左右。经济转型发展取得实质突破，产业结构持续优化，农业现代化取得明显进展，</w:t>
      </w:r>
      <w:bookmarkStart w:id="18" w:name="_Hlk48160336"/>
      <w:r>
        <w:rPr>
          <w:rFonts w:hint="default" w:ascii="Times New Roman" w:hAnsi="Times New Roman" w:eastAsia="仿宋_GB2312" w:cs="Times New Roman"/>
          <w:sz w:val="32"/>
          <w:szCs w:val="32"/>
          <w:highlight w:val="none"/>
          <w:u w:val="none"/>
        </w:rPr>
        <w:t>工业和服务业</w:t>
      </w:r>
      <w:bookmarkEnd w:id="18"/>
      <w:r>
        <w:rPr>
          <w:rFonts w:hint="default" w:ascii="Times New Roman" w:hAnsi="Times New Roman" w:eastAsia="仿宋_GB2312" w:cs="Times New Roman"/>
          <w:sz w:val="32"/>
          <w:szCs w:val="32"/>
          <w:highlight w:val="none"/>
          <w:u w:val="none"/>
        </w:rPr>
        <w:t>发展层次进一步提升。</w:t>
      </w:r>
    </w:p>
    <w:p w14:paraId="3C6FC6B9">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sz w:val="32"/>
          <w:szCs w:val="32"/>
          <w:highlight w:val="none"/>
          <w:u w:val="none"/>
        </w:rPr>
        <w:t>特色产业体系建设取得新进展。</w:t>
      </w:r>
      <w:r>
        <w:rPr>
          <w:rFonts w:hint="default" w:ascii="Times New Roman" w:hAnsi="Times New Roman" w:eastAsia="仿宋_GB2312" w:cs="Times New Roman"/>
          <w:sz w:val="32"/>
          <w:szCs w:val="32"/>
          <w:highlight w:val="none"/>
          <w:u w:val="none"/>
        </w:rPr>
        <w:t>郊区资源禀赋、区位优势、产业基础得到充分挖潜，绿色农业产业体系基本建立，能源、中药材、旅游等产业实现集聚化发展，发展路径和重点进一步明确。产业园区承载力进一步加强，项目建设用地集约化水平不断提高，土地要素保障能力不断提升。市场主体茁壮成长，一批重大项目落地建设。</w:t>
      </w:r>
    </w:p>
    <w:p w14:paraId="12F9E1C4">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开放合作迈上新台阶。</w:t>
      </w:r>
      <w:r>
        <w:rPr>
          <w:rFonts w:hint="default" w:ascii="Times New Roman" w:hAnsi="Times New Roman" w:eastAsia="仿宋_GB2312" w:cs="Times New Roman"/>
          <w:sz w:val="32"/>
          <w:szCs w:val="32"/>
          <w:highlight w:val="none"/>
          <w:u w:val="none"/>
        </w:rPr>
        <w:t>以对俄和东北亚为重点的全方位对外开放新格局基本建立。数字经济与电子商务跨境体系培育壮大，国际交流合作范围不断扩大，外贸进出口总额、实际利用外资大幅度提升。开放的国际贸易体系和完善的国际物流平台初步形成，外贸进出口总额年均增长7%以上。</w:t>
      </w:r>
    </w:p>
    <w:p w14:paraId="7673F890">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民生福祉达到新水平。</w:t>
      </w:r>
      <w:r>
        <w:rPr>
          <w:rFonts w:hint="default" w:ascii="Times New Roman" w:hAnsi="Times New Roman" w:eastAsia="仿宋_GB2312" w:cs="Times New Roman"/>
          <w:sz w:val="32"/>
          <w:szCs w:val="32"/>
          <w:highlight w:val="none"/>
          <w:u w:val="none"/>
        </w:rPr>
        <w:t>新型城镇化快速推进，城镇化质量和水平稳步提高</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 xml:space="preserve">就业质量和稳定性不断增强，城镇累计新增就业1.3万人以上，失业率控制在省市确定目标以下。乡村振兴工作取得新进展，脱贫攻坚成果得到巩固拓展，城乡基本养老服务体系更加完善。教育、文化、医疗、社保、住房等基本公共服务体系均等化水平稳步提升，重点优抚对象医疗、养老保障制度体系进一步完善，常住人口基本养老保险参保率达到100%。学前三年毛入学率达到93%以上，义务教育学校优质均衡建设完成率100%。城乡社区服务能力明显提高，“一刻钟便民生活圈”建设全面推进。共同富裕取得实质性进展，城乡收入水平快于经济增长，城乡差距进一步缩小。 </w:t>
      </w:r>
    </w:p>
    <w:p w14:paraId="32E9B472">
      <w:pPr>
        <w:keepNext w:val="0"/>
        <w:keepLines w:val="0"/>
        <w:pageBreakBefore w:val="0"/>
        <w:widowControl w:val="0"/>
        <w:kinsoku/>
        <w:wordWrap/>
        <w:overflowPunct w:val="0"/>
        <w:topLinePunct w:val="0"/>
        <w:autoSpaceDE w:val="0"/>
        <w:autoSpaceDN w:val="0"/>
        <w:bidi w:val="0"/>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城乡基本建设取得新进展。</w:t>
      </w:r>
      <w:r>
        <w:rPr>
          <w:rFonts w:hint="default" w:ascii="Times New Roman" w:hAnsi="Times New Roman" w:eastAsia="仿宋_GB2312" w:cs="Times New Roman"/>
          <w:sz w:val="32"/>
          <w:szCs w:val="32"/>
          <w:highlight w:val="none"/>
          <w:u w:val="none"/>
        </w:rPr>
        <w:t>交通网络体系进一步健全，通乡、通村、村内等农村公路建设任务基本完成，农村公路网布局更加合理，彻底消除农村公路危桥隐患。城镇基础设施水平不断提升，城区给排水、污水处理、垃圾、供暖等公共服务设施不断</w:t>
      </w:r>
      <w:r>
        <w:rPr>
          <w:rFonts w:hint="default" w:ascii="Times New Roman" w:hAnsi="Times New Roman" w:eastAsia="仿宋_GB2312" w:cs="Times New Roman"/>
          <w:sz w:val="32"/>
          <w:szCs w:val="32"/>
          <w:highlight w:val="none"/>
          <w:u w:val="none"/>
          <w:lang w:val="en-US" w:eastAsia="zh-CN"/>
        </w:rPr>
        <w:t>完</w:t>
      </w:r>
      <w:r>
        <w:rPr>
          <w:rFonts w:hint="default" w:ascii="Times New Roman" w:hAnsi="Times New Roman" w:eastAsia="仿宋_GB2312" w:cs="Times New Roman"/>
          <w:sz w:val="32"/>
          <w:szCs w:val="32"/>
          <w:highlight w:val="none"/>
          <w:u w:val="none"/>
        </w:rPr>
        <w:t>善。农村人居环境质量稳步提升。安全保障能力明显提升，江河护岸、农田灌溉、水库消险加固、重点区域和重点地段河流防洪能力等水利设施建设力度加大。能源基础设施建设取得重要进展，新一代信息基础设施全面推进，自然村、主要景区5G信号覆盖率达到100%。</w:t>
      </w:r>
    </w:p>
    <w:p w14:paraId="3E92AF75">
      <w:pPr>
        <w:keepNext w:val="0"/>
        <w:keepLines w:val="0"/>
        <w:pageBreakBefore w:val="0"/>
        <w:widowControl w:val="0"/>
        <w:kinsoku/>
        <w:wordWrap/>
        <w:overflowPunct w:val="0"/>
        <w:topLinePunct w:val="0"/>
        <w:autoSpaceDE w:val="0"/>
        <w:autoSpaceDN w:val="0"/>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生态环境得到新改善。</w:t>
      </w:r>
      <w:r>
        <w:rPr>
          <w:rFonts w:hint="default" w:ascii="Times New Roman" w:hAnsi="Times New Roman" w:eastAsia="仿宋_GB2312" w:cs="Times New Roman"/>
          <w:sz w:val="32"/>
          <w:szCs w:val="32"/>
          <w:highlight w:val="none"/>
          <w:u w:val="none"/>
        </w:rPr>
        <w:t>生态文明制度体系基本建成，生态环境质量持续向好，公众环境满意度不断提高，省市下达的各项生态环境约束性指标全部完成。资源能源利用效率大幅提高，单位GDP建设用地使用面积显著下降，万元GDP能耗指标符合省市要求。大气、水、土壤三大污染攻坚战防治力度不断加大，河湖环境持续改善。破坏永久基本农田、无证开采矿产资源、毁坏林地草地湿地等问题得到坚决遏制。绿色生产生活方式逐步形成，生活污水集中处理率、生活垃圾无害化处理率均保持在100%。</w:t>
      </w:r>
    </w:p>
    <w:p w14:paraId="79A6C581">
      <w:pPr>
        <w:keepNext w:val="0"/>
        <w:keepLines w:val="0"/>
        <w:pageBreakBefore w:val="0"/>
        <w:widowControl w:val="0"/>
        <w:kinsoku/>
        <w:wordWrap/>
        <w:overflowPunct w:val="0"/>
        <w:topLinePunct w:val="0"/>
        <w:autoSpaceDE w:val="0"/>
        <w:autoSpaceDN w:val="0"/>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改革开放迈出新步伐。</w:t>
      </w:r>
      <w:r>
        <w:rPr>
          <w:rFonts w:hint="default" w:ascii="Times New Roman" w:hAnsi="Times New Roman" w:eastAsia="仿宋_GB2312" w:cs="Times New Roman"/>
          <w:sz w:val="32"/>
          <w:szCs w:val="32"/>
          <w:highlight w:val="none"/>
          <w:u w:val="none"/>
        </w:rPr>
        <w:t>营商环境持续改善，高效透明的政务环境基本建立，统一开放、竞争有序的市场体系基本形成，对各类企业和人才的吸引力显著提高。支持非公经济发展的政策机制更加健全，民营经济发展活力明显增强，城乡融合、军民融合发展体制机制不断完善。</w:t>
      </w:r>
    </w:p>
    <w:p w14:paraId="288621A8">
      <w:pPr>
        <w:keepNext w:val="0"/>
        <w:keepLines w:val="0"/>
        <w:pageBreakBefore w:val="0"/>
        <w:widowControl w:val="0"/>
        <w:kinsoku/>
        <w:wordWrap/>
        <w:overflowPunct w:val="0"/>
        <w:topLinePunct w:val="0"/>
        <w:autoSpaceDE w:val="0"/>
        <w:autoSpaceDN w:val="0"/>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城市文明焕发新活力。</w:t>
      </w:r>
      <w:r>
        <w:rPr>
          <w:rFonts w:hint="default" w:ascii="Times New Roman" w:hAnsi="Times New Roman" w:eastAsia="仿宋_GB2312" w:cs="Times New Roman"/>
          <w:sz w:val="32"/>
          <w:szCs w:val="32"/>
          <w:highlight w:val="none"/>
          <w:u w:val="none"/>
        </w:rPr>
        <w:t>社会主义核心价值观广泛践行，人民精神文化生活日益丰富，人民群众思想道德素质、科学文化素质和身心健康素质明显提高。公共文化服务体系更加健全，特色文化更加繁荣，文化保护和传承工作有效加强。</w:t>
      </w:r>
    </w:p>
    <w:p w14:paraId="157C2956">
      <w:pPr>
        <w:keepNext w:val="0"/>
        <w:keepLines w:val="0"/>
        <w:pageBreakBefore w:val="0"/>
        <w:widowControl w:val="0"/>
        <w:kinsoku/>
        <w:wordWrap/>
        <w:overflowPunct w:val="0"/>
        <w:topLinePunct w:val="0"/>
        <w:autoSpaceDE w:val="0"/>
        <w:autoSpaceDN w:val="0"/>
        <w:bidi w:val="0"/>
        <w:adjustRightInd/>
        <w:snapToGrid/>
        <w:spacing w:line="600" w:lineRule="exact"/>
        <w:ind w:firstLine="643" w:firstLineChars="200"/>
        <w:textAlignment w:val="auto"/>
        <w:rPr>
          <w:rFonts w:hint="default" w:ascii="Times New Roman" w:hAnsi="Times New Roman" w:eastAsia="仿宋_GB2312" w:cs="Times New Roman"/>
          <w:strike/>
          <w:sz w:val="32"/>
          <w:szCs w:val="32"/>
          <w:highlight w:val="none"/>
          <w:u w:val="none"/>
        </w:rPr>
      </w:pPr>
      <w:r>
        <w:rPr>
          <w:rFonts w:hint="default" w:ascii="Times New Roman" w:hAnsi="Times New Roman" w:eastAsia="仿宋_GB2312" w:cs="Times New Roman"/>
          <w:b/>
          <w:sz w:val="32"/>
          <w:szCs w:val="32"/>
          <w:highlight w:val="none"/>
          <w:u w:val="none"/>
        </w:rPr>
        <w:t>社会治理效能得到新提升。</w:t>
      </w:r>
      <w:r>
        <w:rPr>
          <w:rFonts w:hint="default" w:ascii="Times New Roman" w:hAnsi="Times New Roman" w:eastAsia="仿宋_GB2312" w:cs="Times New Roman"/>
          <w:sz w:val="32"/>
          <w:szCs w:val="32"/>
          <w:highlight w:val="none"/>
          <w:u w:val="none"/>
        </w:rPr>
        <w:t>行政体制改革不断深化，政府治理体系和治理能力显著提升。防范化解重大风险体制机制不断健全，重大突发公共事件应急能力显著增强。法治政府、法治社会建设不断深入，治理体系和治理能力现代化进程明显加快。发展和安全保障能力不断增强，边境安全更加稳固，重点领域风险得到有效防范化解。</w:t>
      </w:r>
    </w:p>
    <w:p w14:paraId="0DB5C4DC">
      <w:pPr>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br w:type="page"/>
      </w:r>
    </w:p>
    <w:p w14:paraId="5B3443E5">
      <w:pPr>
        <w:autoSpaceDE w:val="0"/>
        <w:autoSpaceDN w:val="0"/>
        <w:spacing w:line="480" w:lineRule="auto"/>
        <w:ind w:firstLine="1203" w:firstLineChars="428"/>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表1：“十五五”时期郊区经济社会发展主要指标</w:t>
      </w:r>
    </w:p>
    <w:tbl>
      <w:tblPr>
        <w:tblStyle w:val="3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63"/>
        <w:gridCol w:w="500"/>
        <w:gridCol w:w="3090"/>
        <w:gridCol w:w="1134"/>
        <w:gridCol w:w="1275"/>
        <w:gridCol w:w="1134"/>
        <w:gridCol w:w="988"/>
      </w:tblGrid>
      <w:tr w14:paraId="37E5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0" w:hRule="atLeast"/>
          <w:tblHeader/>
          <w:jc w:val="center"/>
        </w:trPr>
        <w:tc>
          <w:tcPr>
            <w:tcW w:w="663" w:type="dxa"/>
            <w:vMerge w:val="restart"/>
            <w:vAlign w:val="center"/>
          </w:tcPr>
          <w:p w14:paraId="20E69FDC">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类别</w:t>
            </w:r>
          </w:p>
        </w:tc>
        <w:tc>
          <w:tcPr>
            <w:tcW w:w="500" w:type="dxa"/>
            <w:vMerge w:val="restart"/>
            <w:vAlign w:val="center"/>
          </w:tcPr>
          <w:p w14:paraId="4A8F7238">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序号</w:t>
            </w:r>
          </w:p>
        </w:tc>
        <w:tc>
          <w:tcPr>
            <w:tcW w:w="3090" w:type="dxa"/>
            <w:vMerge w:val="restart"/>
            <w:vAlign w:val="center"/>
          </w:tcPr>
          <w:p w14:paraId="7C1DAA21">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主要指标</w:t>
            </w:r>
          </w:p>
        </w:tc>
        <w:tc>
          <w:tcPr>
            <w:tcW w:w="1134" w:type="dxa"/>
            <w:vMerge w:val="restart"/>
            <w:vAlign w:val="center"/>
          </w:tcPr>
          <w:p w14:paraId="47800DEF">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2025年</w:t>
            </w:r>
            <w:r>
              <w:rPr>
                <w:rFonts w:hint="default" w:ascii="Times New Roman" w:hAnsi="Times New Roman" w:eastAsia="仿宋_GB2312" w:cs="Times New Roman"/>
                <w:b/>
                <w:bCs/>
                <w:sz w:val="24"/>
                <w:szCs w:val="24"/>
                <w:highlight w:val="none"/>
                <w:u w:val="none"/>
                <w:lang w:val="en-US" w:eastAsia="zh-CN"/>
              </w:rPr>
              <w:t>预计完成</w:t>
            </w:r>
            <w:r>
              <w:rPr>
                <w:rFonts w:hint="default" w:ascii="Times New Roman" w:hAnsi="Times New Roman" w:eastAsia="仿宋_GB2312" w:cs="Times New Roman"/>
                <w:b/>
                <w:bCs/>
                <w:sz w:val="24"/>
                <w:szCs w:val="24"/>
                <w:highlight w:val="none"/>
                <w:u w:val="none"/>
              </w:rPr>
              <w:t>数</w:t>
            </w:r>
          </w:p>
        </w:tc>
        <w:tc>
          <w:tcPr>
            <w:tcW w:w="2409" w:type="dxa"/>
            <w:gridSpan w:val="2"/>
            <w:vAlign w:val="center"/>
          </w:tcPr>
          <w:p w14:paraId="16A361CB">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“十五五”目标</w:t>
            </w:r>
          </w:p>
        </w:tc>
        <w:tc>
          <w:tcPr>
            <w:tcW w:w="988" w:type="dxa"/>
            <w:vMerge w:val="restart"/>
            <w:vAlign w:val="center"/>
          </w:tcPr>
          <w:p w14:paraId="14EB65AA">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指标</w:t>
            </w:r>
          </w:p>
          <w:p w14:paraId="25A7F816">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属性</w:t>
            </w:r>
          </w:p>
        </w:tc>
      </w:tr>
      <w:tr w14:paraId="6E3A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8" w:hRule="atLeast"/>
          <w:tblHeader/>
          <w:jc w:val="center"/>
        </w:trPr>
        <w:tc>
          <w:tcPr>
            <w:tcW w:w="663" w:type="dxa"/>
            <w:vMerge w:val="continue"/>
            <w:vAlign w:val="center"/>
          </w:tcPr>
          <w:p w14:paraId="6D5D0A42">
            <w:pPr>
              <w:adjustRightInd w:val="0"/>
              <w:snapToGrid w:val="0"/>
              <w:spacing w:line="580" w:lineRule="exact"/>
              <w:ind w:firstLine="420" w:firstLineChars="200"/>
              <w:jc w:val="center"/>
              <w:rPr>
                <w:rFonts w:hint="default" w:ascii="Times New Roman" w:hAnsi="Times New Roman" w:eastAsia="宋体" w:cs="Times New Roman"/>
                <w:bCs/>
                <w:szCs w:val="21"/>
                <w:highlight w:val="none"/>
                <w:u w:val="none"/>
              </w:rPr>
            </w:pPr>
          </w:p>
        </w:tc>
        <w:tc>
          <w:tcPr>
            <w:tcW w:w="500" w:type="dxa"/>
            <w:vMerge w:val="continue"/>
            <w:vAlign w:val="center"/>
          </w:tcPr>
          <w:p w14:paraId="255F88BA">
            <w:pPr>
              <w:adjustRightInd w:val="0"/>
              <w:snapToGrid w:val="0"/>
              <w:spacing w:line="580" w:lineRule="exact"/>
              <w:ind w:firstLine="420" w:firstLineChars="200"/>
              <w:jc w:val="center"/>
              <w:rPr>
                <w:rFonts w:hint="default" w:ascii="Times New Roman" w:hAnsi="Times New Roman" w:eastAsia="宋体" w:cs="Times New Roman"/>
                <w:bCs/>
                <w:szCs w:val="21"/>
                <w:highlight w:val="none"/>
                <w:u w:val="none"/>
              </w:rPr>
            </w:pPr>
          </w:p>
        </w:tc>
        <w:tc>
          <w:tcPr>
            <w:tcW w:w="3090" w:type="dxa"/>
            <w:vMerge w:val="continue"/>
            <w:vAlign w:val="center"/>
          </w:tcPr>
          <w:p w14:paraId="5D0D200F">
            <w:pPr>
              <w:adjustRightInd w:val="0"/>
              <w:snapToGrid w:val="0"/>
              <w:spacing w:line="580" w:lineRule="exact"/>
              <w:ind w:firstLine="420" w:firstLineChars="200"/>
              <w:jc w:val="center"/>
              <w:rPr>
                <w:rFonts w:hint="default" w:ascii="Times New Roman" w:hAnsi="Times New Roman" w:eastAsia="宋体" w:cs="Times New Roman"/>
                <w:bCs/>
                <w:szCs w:val="21"/>
                <w:highlight w:val="none"/>
                <w:u w:val="none"/>
              </w:rPr>
            </w:pPr>
          </w:p>
        </w:tc>
        <w:tc>
          <w:tcPr>
            <w:tcW w:w="1134" w:type="dxa"/>
            <w:vMerge w:val="continue"/>
            <w:vAlign w:val="center"/>
          </w:tcPr>
          <w:p w14:paraId="5B93CD25">
            <w:pPr>
              <w:adjustRightInd w:val="0"/>
              <w:snapToGrid w:val="0"/>
              <w:spacing w:line="580" w:lineRule="exact"/>
              <w:ind w:firstLine="420" w:firstLineChars="200"/>
              <w:jc w:val="center"/>
              <w:rPr>
                <w:rFonts w:hint="default" w:ascii="Times New Roman" w:hAnsi="Times New Roman" w:eastAsia="宋体" w:cs="Times New Roman"/>
                <w:bCs/>
                <w:szCs w:val="21"/>
                <w:highlight w:val="none"/>
                <w:u w:val="none"/>
              </w:rPr>
            </w:pPr>
          </w:p>
        </w:tc>
        <w:tc>
          <w:tcPr>
            <w:tcW w:w="1275" w:type="dxa"/>
            <w:vAlign w:val="center"/>
          </w:tcPr>
          <w:p w14:paraId="5031DB48">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总量</w:t>
            </w:r>
          </w:p>
        </w:tc>
        <w:tc>
          <w:tcPr>
            <w:tcW w:w="1134" w:type="dxa"/>
            <w:vAlign w:val="center"/>
          </w:tcPr>
          <w:p w14:paraId="23B64701">
            <w:pPr>
              <w:adjustRightInd w:val="0"/>
              <w:snapToGrid w:val="0"/>
              <w:jc w:val="center"/>
              <w:rPr>
                <w:rFonts w:hint="default" w:ascii="Times New Roman" w:hAnsi="Times New Roman" w:eastAsia="仿宋_GB2312" w:cs="Times New Roman"/>
                <w:b/>
                <w:bCs/>
                <w:sz w:val="24"/>
                <w:szCs w:val="24"/>
                <w:highlight w:val="none"/>
                <w:u w:val="none"/>
              </w:rPr>
            </w:pPr>
            <w:r>
              <w:rPr>
                <w:rFonts w:hint="default" w:ascii="Times New Roman" w:hAnsi="Times New Roman" w:eastAsia="仿宋_GB2312" w:cs="Times New Roman"/>
                <w:b/>
                <w:bCs/>
                <w:sz w:val="24"/>
                <w:szCs w:val="24"/>
                <w:highlight w:val="none"/>
                <w:u w:val="none"/>
              </w:rPr>
              <w:t>年均增长</w:t>
            </w:r>
          </w:p>
        </w:tc>
        <w:tc>
          <w:tcPr>
            <w:tcW w:w="988" w:type="dxa"/>
            <w:vMerge w:val="continue"/>
            <w:vAlign w:val="center"/>
          </w:tcPr>
          <w:p w14:paraId="22CEAFC8">
            <w:pPr>
              <w:adjustRightInd w:val="0"/>
              <w:snapToGrid w:val="0"/>
              <w:spacing w:line="580" w:lineRule="exact"/>
              <w:ind w:firstLine="420" w:firstLineChars="200"/>
              <w:jc w:val="center"/>
              <w:rPr>
                <w:rFonts w:hint="default" w:ascii="Times New Roman" w:hAnsi="Times New Roman" w:eastAsia="宋体" w:cs="Times New Roman"/>
                <w:bCs/>
                <w:szCs w:val="21"/>
                <w:highlight w:val="none"/>
                <w:u w:val="none"/>
              </w:rPr>
            </w:pPr>
          </w:p>
        </w:tc>
      </w:tr>
      <w:tr w14:paraId="497E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663" w:type="dxa"/>
            <w:vMerge w:val="restart"/>
            <w:vAlign w:val="center"/>
          </w:tcPr>
          <w:p w14:paraId="3FE09787">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经济</w:t>
            </w:r>
          </w:p>
          <w:p w14:paraId="257916F9">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发展</w:t>
            </w:r>
          </w:p>
        </w:tc>
        <w:tc>
          <w:tcPr>
            <w:tcW w:w="500" w:type="dxa"/>
            <w:vAlign w:val="center"/>
          </w:tcPr>
          <w:p w14:paraId="3173064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1</w:t>
            </w:r>
          </w:p>
        </w:tc>
        <w:tc>
          <w:tcPr>
            <w:tcW w:w="3090" w:type="dxa"/>
            <w:vAlign w:val="center"/>
          </w:tcPr>
          <w:p w14:paraId="24C4B7FF">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地区生产总值（亿元）</w:t>
            </w:r>
          </w:p>
        </w:tc>
        <w:tc>
          <w:tcPr>
            <w:tcW w:w="1134" w:type="dxa"/>
            <w:vAlign w:val="center"/>
          </w:tcPr>
          <w:p w14:paraId="29D38230">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92</w:t>
            </w:r>
          </w:p>
        </w:tc>
        <w:tc>
          <w:tcPr>
            <w:tcW w:w="1275" w:type="dxa"/>
            <w:vAlign w:val="center"/>
          </w:tcPr>
          <w:p w14:paraId="3236290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1134" w:type="dxa"/>
            <w:vAlign w:val="center"/>
          </w:tcPr>
          <w:p w14:paraId="62D0D738">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rPr>
              <w:t>5</w:t>
            </w:r>
            <w:r>
              <w:rPr>
                <w:rFonts w:hint="default" w:ascii="Times New Roman" w:hAnsi="Times New Roman" w:eastAsia="仿宋_GB2312" w:cs="Times New Roman"/>
                <w:sz w:val="24"/>
                <w:szCs w:val="24"/>
                <w:highlight w:val="none"/>
                <w:u w:val="none"/>
                <w:lang w:val="en-US" w:eastAsia="zh-CN"/>
              </w:rPr>
              <w:t>.5</w:t>
            </w:r>
            <w:r>
              <w:rPr>
                <w:rFonts w:hint="default" w:ascii="Times New Roman" w:hAnsi="Times New Roman" w:eastAsia="仿宋_GB2312" w:cs="Times New Roman"/>
                <w:sz w:val="24"/>
                <w:szCs w:val="24"/>
                <w:highlight w:val="none"/>
                <w:u w:val="none"/>
              </w:rPr>
              <w:t>%</w:t>
            </w:r>
            <w:r>
              <w:rPr>
                <w:rFonts w:hint="default" w:ascii="Times New Roman" w:hAnsi="Times New Roman" w:eastAsia="仿宋_GB2312" w:cs="Times New Roman"/>
                <w:sz w:val="24"/>
                <w:szCs w:val="24"/>
                <w:highlight w:val="none"/>
                <w:u w:val="none"/>
                <w:lang w:val="en-US" w:eastAsia="zh-CN"/>
              </w:rPr>
              <w:t>以上</w:t>
            </w:r>
          </w:p>
        </w:tc>
        <w:tc>
          <w:tcPr>
            <w:tcW w:w="988" w:type="dxa"/>
            <w:vAlign w:val="center"/>
          </w:tcPr>
          <w:p w14:paraId="00DD6BD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269C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9" w:hRule="atLeast"/>
          <w:jc w:val="center"/>
        </w:trPr>
        <w:tc>
          <w:tcPr>
            <w:tcW w:w="663" w:type="dxa"/>
            <w:vMerge w:val="continue"/>
            <w:vAlign w:val="center"/>
          </w:tcPr>
          <w:p w14:paraId="2605448E">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3323BF79">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2</w:t>
            </w:r>
          </w:p>
        </w:tc>
        <w:tc>
          <w:tcPr>
            <w:tcW w:w="3090" w:type="dxa"/>
            <w:vAlign w:val="center"/>
          </w:tcPr>
          <w:p w14:paraId="7D754E29">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人均地区生产总值（万元）</w:t>
            </w:r>
          </w:p>
        </w:tc>
        <w:tc>
          <w:tcPr>
            <w:tcW w:w="1134" w:type="dxa"/>
            <w:vAlign w:val="center"/>
          </w:tcPr>
          <w:p w14:paraId="1844667F">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4.98</w:t>
            </w:r>
          </w:p>
        </w:tc>
        <w:tc>
          <w:tcPr>
            <w:tcW w:w="1275" w:type="dxa"/>
            <w:vAlign w:val="center"/>
          </w:tcPr>
          <w:p w14:paraId="131CC352">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lang w:val="en-US" w:eastAsia="zh-CN"/>
              </w:rPr>
              <w:t>5</w:t>
            </w:r>
            <w:r>
              <w:rPr>
                <w:rFonts w:hint="default" w:ascii="Times New Roman" w:hAnsi="Times New Roman" w:eastAsia="仿宋_GB2312" w:cs="Times New Roman"/>
                <w:sz w:val="24"/>
                <w:szCs w:val="24"/>
                <w:highlight w:val="none"/>
                <w:u w:val="none"/>
              </w:rPr>
              <w:t>.5</w:t>
            </w:r>
          </w:p>
        </w:tc>
        <w:tc>
          <w:tcPr>
            <w:tcW w:w="1134" w:type="dxa"/>
            <w:vAlign w:val="center"/>
          </w:tcPr>
          <w:p w14:paraId="517DE892">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66500353">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5D77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663" w:type="dxa"/>
            <w:vMerge w:val="continue"/>
            <w:vAlign w:val="center"/>
          </w:tcPr>
          <w:p w14:paraId="5D4C67E0">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5739F33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3</w:t>
            </w:r>
          </w:p>
        </w:tc>
        <w:tc>
          <w:tcPr>
            <w:tcW w:w="3090" w:type="dxa"/>
            <w:vAlign w:val="center"/>
          </w:tcPr>
          <w:p w14:paraId="65343B9A">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一般公共预算收入（亿元）</w:t>
            </w:r>
          </w:p>
        </w:tc>
        <w:tc>
          <w:tcPr>
            <w:tcW w:w="1134" w:type="dxa"/>
            <w:vAlign w:val="center"/>
          </w:tcPr>
          <w:p w14:paraId="1FDF6CBF">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5</w:t>
            </w:r>
          </w:p>
        </w:tc>
        <w:tc>
          <w:tcPr>
            <w:tcW w:w="1275" w:type="dxa"/>
            <w:vAlign w:val="center"/>
          </w:tcPr>
          <w:p w14:paraId="595BA125">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8.1</w:t>
            </w:r>
          </w:p>
        </w:tc>
        <w:tc>
          <w:tcPr>
            <w:tcW w:w="1134" w:type="dxa"/>
            <w:vAlign w:val="center"/>
          </w:tcPr>
          <w:p w14:paraId="2B41E667">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10%</w:t>
            </w:r>
          </w:p>
        </w:tc>
        <w:tc>
          <w:tcPr>
            <w:tcW w:w="988" w:type="dxa"/>
            <w:vAlign w:val="center"/>
          </w:tcPr>
          <w:p w14:paraId="1A30CEB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633B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9" w:hRule="atLeast"/>
          <w:jc w:val="center"/>
        </w:trPr>
        <w:tc>
          <w:tcPr>
            <w:tcW w:w="663" w:type="dxa"/>
            <w:vMerge w:val="continue"/>
            <w:vAlign w:val="center"/>
          </w:tcPr>
          <w:p w14:paraId="3DFC2229">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0CB748C7">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4</w:t>
            </w:r>
          </w:p>
        </w:tc>
        <w:tc>
          <w:tcPr>
            <w:tcW w:w="3090" w:type="dxa"/>
            <w:vAlign w:val="center"/>
          </w:tcPr>
          <w:p w14:paraId="6E6FB183">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社会消费品零售总额（亿元）</w:t>
            </w:r>
          </w:p>
        </w:tc>
        <w:tc>
          <w:tcPr>
            <w:tcW w:w="1134" w:type="dxa"/>
            <w:vAlign w:val="center"/>
          </w:tcPr>
          <w:p w14:paraId="4DF9E9C5">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eastAsia" w:ascii="Times New Roman" w:hAnsi="Times New Roman" w:eastAsia="仿宋_GB2312" w:cs="Times New Roman"/>
                <w:sz w:val="24"/>
                <w:szCs w:val="24"/>
                <w:highlight w:val="none"/>
                <w:u w:val="none"/>
                <w:lang w:val="en-US" w:eastAsia="zh-CN"/>
              </w:rPr>
              <w:t>60.62</w:t>
            </w:r>
          </w:p>
        </w:tc>
        <w:tc>
          <w:tcPr>
            <w:tcW w:w="1275" w:type="dxa"/>
            <w:vAlign w:val="center"/>
          </w:tcPr>
          <w:p w14:paraId="078A1C1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7</w:t>
            </w:r>
            <w:r>
              <w:rPr>
                <w:rFonts w:hint="eastAsia" w:ascii="Times New Roman" w:hAnsi="Times New Roman" w:eastAsia="仿宋_GB2312" w:cs="Times New Roman"/>
                <w:sz w:val="24"/>
                <w:szCs w:val="24"/>
                <w:highlight w:val="none"/>
                <w:u w:val="none"/>
                <w:lang w:val="en-US" w:eastAsia="zh-CN"/>
              </w:rPr>
              <w:t>7</w:t>
            </w:r>
            <w:r>
              <w:rPr>
                <w:rFonts w:hint="default" w:ascii="Times New Roman" w:hAnsi="Times New Roman" w:eastAsia="仿宋_GB2312" w:cs="Times New Roman"/>
                <w:sz w:val="24"/>
                <w:szCs w:val="24"/>
                <w:highlight w:val="none"/>
                <w:u w:val="none"/>
                <w:lang w:val="en-US" w:eastAsia="zh-CN"/>
              </w:rPr>
              <w:t>.3</w:t>
            </w:r>
            <w:r>
              <w:rPr>
                <w:rFonts w:hint="eastAsia" w:ascii="Times New Roman" w:hAnsi="Times New Roman" w:eastAsia="仿宋_GB2312" w:cs="Times New Roman"/>
                <w:sz w:val="24"/>
                <w:szCs w:val="24"/>
                <w:highlight w:val="none"/>
                <w:u w:val="none"/>
                <w:lang w:val="en-US" w:eastAsia="zh-CN"/>
              </w:rPr>
              <w:t>7</w:t>
            </w:r>
          </w:p>
        </w:tc>
        <w:tc>
          <w:tcPr>
            <w:tcW w:w="1134" w:type="dxa"/>
            <w:vAlign w:val="center"/>
          </w:tcPr>
          <w:p w14:paraId="5864329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5%</w:t>
            </w:r>
          </w:p>
        </w:tc>
        <w:tc>
          <w:tcPr>
            <w:tcW w:w="988" w:type="dxa"/>
            <w:vAlign w:val="center"/>
          </w:tcPr>
          <w:p w14:paraId="16F57FF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7CC0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663" w:type="dxa"/>
            <w:vMerge w:val="continue"/>
            <w:vAlign w:val="center"/>
          </w:tcPr>
          <w:p w14:paraId="30B0340D">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1BB4C24E">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lang w:val="en-US" w:eastAsia="zh-CN"/>
              </w:rPr>
              <w:t>5</w:t>
            </w:r>
          </w:p>
        </w:tc>
        <w:tc>
          <w:tcPr>
            <w:tcW w:w="3090" w:type="dxa"/>
            <w:vAlign w:val="center"/>
          </w:tcPr>
          <w:p w14:paraId="10EEC022">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进出口总额（亿元）</w:t>
            </w:r>
          </w:p>
        </w:tc>
        <w:tc>
          <w:tcPr>
            <w:tcW w:w="1134" w:type="dxa"/>
            <w:vAlign w:val="center"/>
          </w:tcPr>
          <w:p w14:paraId="4EEDFFD8">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eastAsia" w:ascii="Times New Roman" w:hAnsi="Times New Roman" w:eastAsia="仿宋_GB2312" w:cs="Times New Roman"/>
                <w:sz w:val="24"/>
                <w:szCs w:val="24"/>
                <w:highlight w:val="none"/>
                <w:u w:val="none"/>
                <w:lang w:val="en-US" w:eastAsia="zh-CN"/>
              </w:rPr>
              <w:t>5.0</w:t>
            </w:r>
          </w:p>
        </w:tc>
        <w:tc>
          <w:tcPr>
            <w:tcW w:w="1275" w:type="dxa"/>
            <w:vAlign w:val="center"/>
          </w:tcPr>
          <w:p w14:paraId="5E6665C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6.3</w:t>
            </w:r>
          </w:p>
        </w:tc>
        <w:tc>
          <w:tcPr>
            <w:tcW w:w="1134" w:type="dxa"/>
            <w:vAlign w:val="center"/>
          </w:tcPr>
          <w:p w14:paraId="5220ACAF">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7%</w:t>
            </w:r>
          </w:p>
        </w:tc>
        <w:tc>
          <w:tcPr>
            <w:tcW w:w="988" w:type="dxa"/>
            <w:vAlign w:val="center"/>
          </w:tcPr>
          <w:p w14:paraId="7BEF888D">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03DB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663" w:type="dxa"/>
            <w:vMerge w:val="continue"/>
            <w:vAlign w:val="center"/>
          </w:tcPr>
          <w:p w14:paraId="5F3AC181">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72C9ABC3">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lang w:val="en-US" w:eastAsia="zh-CN"/>
              </w:rPr>
              <w:t>6</w:t>
            </w:r>
          </w:p>
        </w:tc>
        <w:tc>
          <w:tcPr>
            <w:tcW w:w="3090" w:type="dxa"/>
            <w:vAlign w:val="center"/>
          </w:tcPr>
          <w:p w14:paraId="3DCF5E43">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二三产合计占GDP比重（%）</w:t>
            </w:r>
          </w:p>
        </w:tc>
        <w:tc>
          <w:tcPr>
            <w:tcW w:w="1134" w:type="dxa"/>
            <w:vAlign w:val="center"/>
          </w:tcPr>
          <w:p w14:paraId="57600515">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66.2</w:t>
            </w:r>
          </w:p>
        </w:tc>
        <w:tc>
          <w:tcPr>
            <w:tcW w:w="1275" w:type="dxa"/>
            <w:vAlign w:val="center"/>
          </w:tcPr>
          <w:p w14:paraId="19AFE12E">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70</w:t>
            </w:r>
          </w:p>
        </w:tc>
        <w:tc>
          <w:tcPr>
            <w:tcW w:w="1134" w:type="dxa"/>
            <w:vAlign w:val="center"/>
          </w:tcPr>
          <w:p w14:paraId="0B5E606E">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w:t>
            </w:r>
          </w:p>
        </w:tc>
        <w:tc>
          <w:tcPr>
            <w:tcW w:w="988" w:type="dxa"/>
            <w:vAlign w:val="center"/>
          </w:tcPr>
          <w:p w14:paraId="3EA610B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30DE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2" w:hRule="atLeast"/>
          <w:jc w:val="center"/>
        </w:trPr>
        <w:tc>
          <w:tcPr>
            <w:tcW w:w="663" w:type="dxa"/>
            <w:vMerge w:val="continue"/>
            <w:vAlign w:val="center"/>
          </w:tcPr>
          <w:p w14:paraId="044FD8F5">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0642E4E2">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lang w:val="en-US" w:eastAsia="zh-CN"/>
              </w:rPr>
              <w:t>7</w:t>
            </w:r>
          </w:p>
        </w:tc>
        <w:tc>
          <w:tcPr>
            <w:tcW w:w="3090" w:type="dxa"/>
            <w:vAlign w:val="center"/>
          </w:tcPr>
          <w:p w14:paraId="4F535637">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常住人口城镇化率（%）</w:t>
            </w:r>
          </w:p>
        </w:tc>
        <w:tc>
          <w:tcPr>
            <w:tcW w:w="1134" w:type="dxa"/>
            <w:vAlign w:val="center"/>
          </w:tcPr>
          <w:p w14:paraId="4B1F6AF3">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56</w:t>
            </w:r>
          </w:p>
        </w:tc>
        <w:tc>
          <w:tcPr>
            <w:tcW w:w="1275" w:type="dxa"/>
            <w:vAlign w:val="center"/>
          </w:tcPr>
          <w:p w14:paraId="0F56C67F">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&gt;65</w:t>
            </w:r>
          </w:p>
        </w:tc>
        <w:tc>
          <w:tcPr>
            <w:tcW w:w="1134" w:type="dxa"/>
            <w:vAlign w:val="center"/>
          </w:tcPr>
          <w:p w14:paraId="0F099DED">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7EFC51E1">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0F16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3" w:type="dxa"/>
            <w:vMerge w:val="restart"/>
            <w:vAlign w:val="center"/>
          </w:tcPr>
          <w:p w14:paraId="486FDBB0">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创新</w:t>
            </w:r>
          </w:p>
          <w:p w14:paraId="0FC5C941">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驱动</w:t>
            </w:r>
          </w:p>
        </w:tc>
        <w:tc>
          <w:tcPr>
            <w:tcW w:w="500" w:type="dxa"/>
            <w:vAlign w:val="center"/>
          </w:tcPr>
          <w:p w14:paraId="31C68E84">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lang w:val="en-US" w:eastAsia="zh-CN"/>
              </w:rPr>
              <w:t>8</w:t>
            </w:r>
          </w:p>
        </w:tc>
        <w:tc>
          <w:tcPr>
            <w:tcW w:w="3090" w:type="dxa"/>
            <w:vAlign w:val="center"/>
          </w:tcPr>
          <w:p w14:paraId="295637DE">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研发经费投入（亿元）</w:t>
            </w:r>
          </w:p>
        </w:tc>
        <w:tc>
          <w:tcPr>
            <w:tcW w:w="1134" w:type="dxa"/>
            <w:vAlign w:val="center"/>
          </w:tcPr>
          <w:p w14:paraId="6BAA1849">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0.3</w:t>
            </w:r>
            <w:r>
              <w:rPr>
                <w:rFonts w:hint="eastAsia" w:ascii="Times New Roman" w:hAnsi="Times New Roman" w:eastAsia="仿宋_GB2312" w:cs="Times New Roman"/>
                <w:sz w:val="24"/>
                <w:szCs w:val="24"/>
                <w:highlight w:val="none"/>
                <w:u w:val="none"/>
                <w:lang w:val="en-US" w:eastAsia="zh-CN"/>
              </w:rPr>
              <w:t>1</w:t>
            </w:r>
          </w:p>
        </w:tc>
        <w:tc>
          <w:tcPr>
            <w:tcW w:w="1275" w:type="dxa"/>
            <w:vAlign w:val="center"/>
          </w:tcPr>
          <w:p w14:paraId="7772A42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1134" w:type="dxa"/>
            <w:vAlign w:val="center"/>
          </w:tcPr>
          <w:p w14:paraId="04103AE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&gt;</w:t>
            </w:r>
            <w:r>
              <w:rPr>
                <w:rFonts w:hint="eastAsia" w:ascii="Times New Roman" w:hAnsi="Times New Roman" w:eastAsia="仿宋_GB2312" w:cs="Times New Roman"/>
                <w:sz w:val="24"/>
                <w:szCs w:val="24"/>
                <w:highlight w:val="none"/>
                <w:u w:val="none"/>
                <w:lang w:val="en-US" w:eastAsia="zh-CN"/>
              </w:rPr>
              <w:t>5</w:t>
            </w:r>
            <w:r>
              <w:rPr>
                <w:rFonts w:hint="default" w:ascii="Times New Roman" w:hAnsi="Times New Roman" w:eastAsia="仿宋_GB2312" w:cs="Times New Roman"/>
                <w:sz w:val="24"/>
                <w:szCs w:val="24"/>
                <w:highlight w:val="none"/>
                <w:u w:val="none"/>
              </w:rPr>
              <w:t>%</w:t>
            </w:r>
          </w:p>
        </w:tc>
        <w:tc>
          <w:tcPr>
            <w:tcW w:w="988" w:type="dxa"/>
            <w:vAlign w:val="center"/>
          </w:tcPr>
          <w:p w14:paraId="7DB11F9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1E44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3" w:type="dxa"/>
            <w:vMerge w:val="continue"/>
            <w:vAlign w:val="center"/>
          </w:tcPr>
          <w:p w14:paraId="15E637C8">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3BF6AB54">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lang w:val="en-US" w:eastAsia="zh-CN"/>
              </w:rPr>
              <w:t>9</w:t>
            </w:r>
          </w:p>
        </w:tc>
        <w:tc>
          <w:tcPr>
            <w:tcW w:w="3090" w:type="dxa"/>
            <w:vAlign w:val="center"/>
          </w:tcPr>
          <w:p w14:paraId="01178DC9">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高新技术企业数（个）</w:t>
            </w:r>
          </w:p>
        </w:tc>
        <w:tc>
          <w:tcPr>
            <w:tcW w:w="1134" w:type="dxa"/>
            <w:vAlign w:val="center"/>
          </w:tcPr>
          <w:p w14:paraId="7FA70A71">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2</w:t>
            </w:r>
            <w:r>
              <w:rPr>
                <w:rFonts w:hint="default" w:ascii="Times New Roman" w:hAnsi="Times New Roman" w:eastAsia="仿宋_GB2312" w:cs="Times New Roman"/>
                <w:sz w:val="24"/>
                <w:szCs w:val="24"/>
                <w:highlight w:val="none"/>
                <w:u w:val="none"/>
                <w:lang w:val="en-US" w:eastAsia="zh-CN"/>
              </w:rPr>
              <w:t>0</w:t>
            </w:r>
          </w:p>
        </w:tc>
        <w:tc>
          <w:tcPr>
            <w:tcW w:w="1275" w:type="dxa"/>
            <w:vAlign w:val="center"/>
          </w:tcPr>
          <w:p w14:paraId="46489A9F">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1134" w:type="dxa"/>
            <w:vAlign w:val="center"/>
          </w:tcPr>
          <w:p w14:paraId="6A6097A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年</w:t>
            </w:r>
            <w:r>
              <w:rPr>
                <w:rFonts w:hint="eastAsia" w:ascii="Times New Roman" w:hAnsi="Times New Roman" w:eastAsia="仿宋_GB2312" w:cs="Times New Roman"/>
                <w:sz w:val="24"/>
                <w:szCs w:val="24"/>
                <w:highlight w:val="none"/>
                <w:u w:val="none"/>
                <w:lang w:eastAsia="zh-CN"/>
              </w:rPr>
              <w:t>均</w:t>
            </w:r>
            <w:r>
              <w:rPr>
                <w:rFonts w:hint="default" w:ascii="Times New Roman" w:hAnsi="Times New Roman" w:eastAsia="仿宋_GB2312" w:cs="Times New Roman"/>
                <w:sz w:val="24"/>
                <w:szCs w:val="24"/>
                <w:highlight w:val="none"/>
                <w:u w:val="none"/>
              </w:rPr>
              <w:t>新增1家</w:t>
            </w:r>
          </w:p>
        </w:tc>
        <w:tc>
          <w:tcPr>
            <w:tcW w:w="988" w:type="dxa"/>
            <w:vAlign w:val="center"/>
          </w:tcPr>
          <w:p w14:paraId="16A6F654">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3ECB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3" w:type="dxa"/>
            <w:vMerge w:val="continue"/>
            <w:vAlign w:val="center"/>
          </w:tcPr>
          <w:p w14:paraId="42B281DF">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5BD20A6B">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0</w:t>
            </w:r>
          </w:p>
        </w:tc>
        <w:tc>
          <w:tcPr>
            <w:tcW w:w="3090" w:type="dxa"/>
            <w:vAlign w:val="center"/>
          </w:tcPr>
          <w:p w14:paraId="02E5E6D9">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数字经济核心产业增加值占GDP比重（%）</w:t>
            </w:r>
          </w:p>
        </w:tc>
        <w:tc>
          <w:tcPr>
            <w:tcW w:w="1134" w:type="dxa"/>
            <w:vAlign w:val="center"/>
          </w:tcPr>
          <w:p w14:paraId="58861212">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8%</w:t>
            </w:r>
          </w:p>
        </w:tc>
        <w:tc>
          <w:tcPr>
            <w:tcW w:w="1275" w:type="dxa"/>
            <w:vAlign w:val="center"/>
          </w:tcPr>
          <w:p w14:paraId="1E21552E">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15%</w:t>
            </w:r>
          </w:p>
        </w:tc>
        <w:tc>
          <w:tcPr>
            <w:tcW w:w="1134" w:type="dxa"/>
            <w:vAlign w:val="center"/>
          </w:tcPr>
          <w:p w14:paraId="0CB71F59">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1.25%</w:t>
            </w:r>
          </w:p>
        </w:tc>
        <w:tc>
          <w:tcPr>
            <w:tcW w:w="988" w:type="dxa"/>
            <w:vAlign w:val="center"/>
          </w:tcPr>
          <w:p w14:paraId="5CF7B613">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54DF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3" w:type="dxa"/>
            <w:vMerge w:val="restart"/>
            <w:vAlign w:val="center"/>
          </w:tcPr>
          <w:p w14:paraId="7D4ABDF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民生</w:t>
            </w:r>
          </w:p>
          <w:p w14:paraId="62A6870D">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福祉</w:t>
            </w:r>
          </w:p>
        </w:tc>
        <w:tc>
          <w:tcPr>
            <w:tcW w:w="500" w:type="dxa"/>
            <w:vAlign w:val="center"/>
          </w:tcPr>
          <w:p w14:paraId="2997ED11">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1</w:t>
            </w:r>
          </w:p>
        </w:tc>
        <w:tc>
          <w:tcPr>
            <w:tcW w:w="3090" w:type="dxa"/>
            <w:vAlign w:val="center"/>
          </w:tcPr>
          <w:p w14:paraId="446E7BDE">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城乡居民人均可支配收入（%）</w:t>
            </w:r>
          </w:p>
        </w:tc>
        <w:tc>
          <w:tcPr>
            <w:tcW w:w="1134" w:type="dxa"/>
            <w:vAlign w:val="center"/>
          </w:tcPr>
          <w:p w14:paraId="5D92D38E">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5.9%</w:t>
            </w:r>
          </w:p>
        </w:tc>
        <w:tc>
          <w:tcPr>
            <w:tcW w:w="1275" w:type="dxa"/>
            <w:vAlign w:val="center"/>
          </w:tcPr>
          <w:p w14:paraId="64CADB9B">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1134" w:type="dxa"/>
            <w:vAlign w:val="center"/>
          </w:tcPr>
          <w:p w14:paraId="5557AE29">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6</w:t>
            </w:r>
          </w:p>
        </w:tc>
        <w:tc>
          <w:tcPr>
            <w:tcW w:w="988" w:type="dxa"/>
            <w:vAlign w:val="center"/>
          </w:tcPr>
          <w:p w14:paraId="1FC1477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06C4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0" w:hRule="atLeast"/>
          <w:jc w:val="center"/>
        </w:trPr>
        <w:tc>
          <w:tcPr>
            <w:tcW w:w="663" w:type="dxa"/>
            <w:vMerge w:val="continue"/>
            <w:vAlign w:val="center"/>
          </w:tcPr>
          <w:p w14:paraId="1D7D2927">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65A075F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12</w:t>
            </w:r>
          </w:p>
        </w:tc>
        <w:tc>
          <w:tcPr>
            <w:tcW w:w="3090" w:type="dxa"/>
            <w:vAlign w:val="center"/>
          </w:tcPr>
          <w:p w14:paraId="57DA526E">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城镇新增就业人数（人）</w:t>
            </w:r>
          </w:p>
        </w:tc>
        <w:tc>
          <w:tcPr>
            <w:tcW w:w="1134" w:type="dxa"/>
            <w:vAlign w:val="center"/>
          </w:tcPr>
          <w:p w14:paraId="6D992DA9">
            <w:pPr>
              <w:adjustRightInd w:val="0"/>
              <w:snapToGrid w:val="0"/>
              <w:jc w:val="center"/>
              <w:rPr>
                <w:rFonts w:hint="default" w:ascii="Times New Roman" w:hAnsi="Times New Roman" w:eastAsia="仿宋_GB2312" w:cs="Times New Roman"/>
                <w:sz w:val="24"/>
                <w:szCs w:val="24"/>
                <w:highlight w:val="none"/>
                <w:u w:val="none"/>
              </w:rPr>
            </w:pPr>
            <w:r>
              <w:rPr>
                <w:rFonts w:hint="eastAsia" w:ascii="Times New Roman" w:hAnsi="Times New Roman" w:eastAsia="仿宋_GB2312" w:cs="Times New Roman"/>
                <w:sz w:val="24"/>
                <w:szCs w:val="24"/>
                <w:highlight w:val="none"/>
                <w:u w:val="none"/>
                <w:lang w:val="en-US" w:eastAsia="zh-CN"/>
              </w:rPr>
              <w:t>2970</w:t>
            </w:r>
          </w:p>
        </w:tc>
        <w:tc>
          <w:tcPr>
            <w:tcW w:w="1275" w:type="dxa"/>
            <w:vAlign w:val="center"/>
          </w:tcPr>
          <w:p w14:paraId="28799539">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8"/>
                <w:szCs w:val="28"/>
                <w:highlight w:val="none"/>
                <w:u w:val="none"/>
              </w:rPr>
              <w:t>【</w:t>
            </w:r>
            <w:r>
              <w:rPr>
                <w:rFonts w:hint="default" w:ascii="Times New Roman" w:hAnsi="Times New Roman" w:eastAsia="仿宋_GB2312" w:cs="Times New Roman"/>
                <w:sz w:val="24"/>
                <w:szCs w:val="24"/>
                <w:highlight w:val="none"/>
                <w:u w:val="none"/>
              </w:rPr>
              <w:t>13000</w:t>
            </w:r>
            <w:r>
              <w:rPr>
                <w:rFonts w:hint="default" w:ascii="Times New Roman" w:hAnsi="Times New Roman" w:eastAsia="仿宋_GB2312" w:cs="Times New Roman"/>
                <w:sz w:val="28"/>
                <w:szCs w:val="28"/>
                <w:highlight w:val="none"/>
                <w:u w:val="none"/>
              </w:rPr>
              <w:t>】</w:t>
            </w:r>
          </w:p>
        </w:tc>
        <w:tc>
          <w:tcPr>
            <w:tcW w:w="1134" w:type="dxa"/>
            <w:vAlign w:val="center"/>
          </w:tcPr>
          <w:p w14:paraId="5B5E63AD">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4F22D7F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37A2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0" w:hRule="atLeast"/>
          <w:jc w:val="center"/>
        </w:trPr>
        <w:tc>
          <w:tcPr>
            <w:tcW w:w="663" w:type="dxa"/>
            <w:vMerge w:val="continue"/>
            <w:vAlign w:val="center"/>
          </w:tcPr>
          <w:p w14:paraId="47019BAF">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23BE6736">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3</w:t>
            </w:r>
          </w:p>
        </w:tc>
        <w:tc>
          <w:tcPr>
            <w:tcW w:w="3090" w:type="dxa"/>
            <w:shd w:val="clear" w:color="auto" w:fill="auto"/>
            <w:vAlign w:val="center"/>
          </w:tcPr>
          <w:p w14:paraId="5A8A45E7">
            <w:pPr>
              <w:adjustRightInd w:val="0"/>
              <w:snapToGrid w:val="0"/>
              <w:jc w:val="left"/>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每千人口拥有执业医师数（</w:t>
            </w:r>
            <w:r>
              <w:rPr>
                <w:rFonts w:hint="default" w:ascii="Times New Roman" w:hAnsi="Times New Roman" w:eastAsia="仿宋_GB2312" w:cs="Times New Roman"/>
                <w:sz w:val="24"/>
                <w:szCs w:val="24"/>
                <w:highlight w:val="none"/>
                <w:u w:val="none"/>
                <w:lang w:val="en-US" w:eastAsia="zh-CN"/>
              </w:rPr>
              <w:t>人</w:t>
            </w:r>
            <w:r>
              <w:rPr>
                <w:rFonts w:hint="default" w:ascii="Times New Roman" w:hAnsi="Times New Roman" w:eastAsia="仿宋_GB2312" w:cs="Times New Roman"/>
                <w:sz w:val="24"/>
                <w:szCs w:val="24"/>
                <w:highlight w:val="none"/>
                <w:u w:val="none"/>
              </w:rPr>
              <w:t>）</w:t>
            </w:r>
          </w:p>
        </w:tc>
        <w:tc>
          <w:tcPr>
            <w:tcW w:w="1134" w:type="dxa"/>
            <w:shd w:val="clear" w:color="auto" w:fill="auto"/>
            <w:vAlign w:val="center"/>
          </w:tcPr>
          <w:p w14:paraId="05A88D1B">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eastAsia" w:ascii="Times New Roman" w:hAnsi="Times New Roman" w:eastAsia="仿宋_GB2312" w:cs="Times New Roman"/>
                <w:sz w:val="24"/>
                <w:szCs w:val="24"/>
                <w:highlight w:val="none"/>
                <w:u w:val="none"/>
                <w:lang w:val="en-US" w:eastAsia="zh-CN"/>
              </w:rPr>
              <w:t>3.4</w:t>
            </w:r>
          </w:p>
        </w:tc>
        <w:tc>
          <w:tcPr>
            <w:tcW w:w="1275" w:type="dxa"/>
            <w:shd w:val="clear" w:color="auto" w:fill="auto"/>
            <w:vAlign w:val="center"/>
          </w:tcPr>
          <w:p w14:paraId="2E3A04A6">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eastAsia" w:ascii="Times New Roman" w:hAnsi="Times New Roman" w:eastAsia="仿宋_GB2312" w:cs="Times New Roman"/>
                <w:sz w:val="24"/>
                <w:szCs w:val="24"/>
                <w:highlight w:val="none"/>
                <w:u w:val="none"/>
                <w:lang w:val="en-US" w:eastAsia="zh-CN"/>
              </w:rPr>
              <w:t>3.6</w:t>
            </w:r>
          </w:p>
        </w:tc>
        <w:tc>
          <w:tcPr>
            <w:tcW w:w="1134" w:type="dxa"/>
            <w:shd w:val="clear" w:color="auto" w:fill="auto"/>
            <w:vAlign w:val="center"/>
          </w:tcPr>
          <w:p w14:paraId="02D124DB">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w:t>
            </w:r>
          </w:p>
        </w:tc>
        <w:tc>
          <w:tcPr>
            <w:tcW w:w="988" w:type="dxa"/>
            <w:shd w:val="clear" w:color="auto" w:fill="auto"/>
            <w:vAlign w:val="center"/>
          </w:tcPr>
          <w:p w14:paraId="2C7FA327">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预期性</w:t>
            </w:r>
          </w:p>
        </w:tc>
      </w:tr>
      <w:tr w14:paraId="1F8A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3" w:hRule="atLeast"/>
          <w:jc w:val="center"/>
        </w:trPr>
        <w:tc>
          <w:tcPr>
            <w:tcW w:w="663" w:type="dxa"/>
            <w:vMerge w:val="continue"/>
            <w:vAlign w:val="center"/>
          </w:tcPr>
          <w:p w14:paraId="70957AB9">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4454F1D9">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14</w:t>
            </w:r>
          </w:p>
        </w:tc>
        <w:tc>
          <w:tcPr>
            <w:tcW w:w="3090" w:type="dxa"/>
            <w:shd w:val="clear" w:color="auto" w:fill="auto"/>
            <w:vAlign w:val="center"/>
          </w:tcPr>
          <w:p w14:paraId="3545E2FC">
            <w:pPr>
              <w:adjustRightInd w:val="0"/>
              <w:snapToGrid w:val="0"/>
              <w:jc w:val="left"/>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rPr>
              <w:t>每千人口拥有</w:t>
            </w:r>
            <w:r>
              <w:rPr>
                <w:rFonts w:hint="default" w:ascii="Times New Roman" w:hAnsi="Times New Roman" w:eastAsia="仿宋_GB2312" w:cs="Times New Roman"/>
                <w:sz w:val="24"/>
                <w:szCs w:val="24"/>
                <w:highlight w:val="none"/>
                <w:u w:val="none"/>
                <w:lang w:val="en-US" w:eastAsia="zh-CN"/>
              </w:rPr>
              <w:t>注册护士</w:t>
            </w:r>
            <w:r>
              <w:rPr>
                <w:rFonts w:hint="default" w:ascii="Times New Roman" w:hAnsi="Times New Roman" w:eastAsia="仿宋_GB2312" w:cs="Times New Roman"/>
                <w:sz w:val="24"/>
                <w:szCs w:val="24"/>
                <w:highlight w:val="none"/>
                <w:u w:val="none"/>
              </w:rPr>
              <w:t>人员数</w:t>
            </w:r>
            <w:r>
              <w:rPr>
                <w:rFonts w:hint="default"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lang w:val="en-US" w:eastAsia="zh-CN"/>
              </w:rPr>
              <w:t>人）</w:t>
            </w:r>
          </w:p>
        </w:tc>
        <w:tc>
          <w:tcPr>
            <w:tcW w:w="1134" w:type="dxa"/>
            <w:shd w:val="clear" w:color="auto" w:fill="auto"/>
            <w:vAlign w:val="center"/>
          </w:tcPr>
          <w:p w14:paraId="7B4AC55B">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eastAsia" w:ascii="Times New Roman" w:hAnsi="Times New Roman" w:eastAsia="仿宋_GB2312" w:cs="Times New Roman"/>
                <w:sz w:val="24"/>
                <w:szCs w:val="24"/>
                <w:highlight w:val="none"/>
                <w:u w:val="none"/>
                <w:lang w:val="en-US" w:eastAsia="zh-CN"/>
              </w:rPr>
              <w:t>3.8</w:t>
            </w:r>
          </w:p>
        </w:tc>
        <w:tc>
          <w:tcPr>
            <w:tcW w:w="1275" w:type="dxa"/>
            <w:shd w:val="clear" w:color="auto" w:fill="auto"/>
            <w:vAlign w:val="center"/>
          </w:tcPr>
          <w:p w14:paraId="50116727">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4.0</w:t>
            </w:r>
          </w:p>
        </w:tc>
        <w:tc>
          <w:tcPr>
            <w:tcW w:w="1134" w:type="dxa"/>
            <w:shd w:val="clear" w:color="auto" w:fill="auto"/>
            <w:vAlign w:val="center"/>
          </w:tcPr>
          <w:p w14:paraId="1802C692">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shd w:val="clear" w:color="auto" w:fill="auto"/>
            <w:vAlign w:val="center"/>
          </w:tcPr>
          <w:p w14:paraId="672132F7">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04D1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663" w:type="dxa"/>
            <w:vMerge w:val="continue"/>
            <w:vAlign w:val="center"/>
          </w:tcPr>
          <w:p w14:paraId="69F92AB7">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7A863E47">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5</w:t>
            </w:r>
          </w:p>
        </w:tc>
        <w:tc>
          <w:tcPr>
            <w:tcW w:w="3090" w:type="dxa"/>
            <w:shd w:val="clear" w:color="auto" w:fill="auto"/>
            <w:vAlign w:val="center"/>
          </w:tcPr>
          <w:p w14:paraId="0B101CD0">
            <w:pPr>
              <w:adjustRightInd w:val="0"/>
              <w:snapToGrid w:val="0"/>
              <w:jc w:val="left"/>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基本养老保险参保率（%）</w:t>
            </w:r>
          </w:p>
        </w:tc>
        <w:tc>
          <w:tcPr>
            <w:tcW w:w="1134" w:type="dxa"/>
            <w:shd w:val="clear" w:color="auto" w:fill="auto"/>
            <w:vAlign w:val="center"/>
          </w:tcPr>
          <w:p w14:paraId="042E0426">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95</w:t>
            </w:r>
          </w:p>
        </w:tc>
        <w:tc>
          <w:tcPr>
            <w:tcW w:w="1275" w:type="dxa"/>
            <w:shd w:val="clear" w:color="auto" w:fill="auto"/>
            <w:vAlign w:val="center"/>
          </w:tcPr>
          <w:p w14:paraId="7461DC33">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95</w:t>
            </w:r>
          </w:p>
        </w:tc>
        <w:tc>
          <w:tcPr>
            <w:tcW w:w="1134" w:type="dxa"/>
            <w:shd w:val="clear" w:color="auto" w:fill="auto"/>
            <w:vAlign w:val="center"/>
          </w:tcPr>
          <w:p w14:paraId="69498BC8">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w:t>
            </w:r>
          </w:p>
        </w:tc>
        <w:tc>
          <w:tcPr>
            <w:tcW w:w="988" w:type="dxa"/>
            <w:shd w:val="clear" w:color="auto" w:fill="auto"/>
            <w:vAlign w:val="center"/>
          </w:tcPr>
          <w:p w14:paraId="45847037">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预期性</w:t>
            </w:r>
          </w:p>
        </w:tc>
      </w:tr>
      <w:tr w14:paraId="041A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63" w:type="dxa"/>
            <w:vMerge w:val="continue"/>
            <w:vAlign w:val="center"/>
          </w:tcPr>
          <w:p w14:paraId="0069E3C4">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79537E36">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6</w:t>
            </w:r>
          </w:p>
        </w:tc>
        <w:tc>
          <w:tcPr>
            <w:tcW w:w="3090" w:type="dxa"/>
            <w:shd w:val="clear" w:color="auto" w:fill="auto"/>
            <w:vAlign w:val="center"/>
          </w:tcPr>
          <w:p w14:paraId="131DDDAD">
            <w:pPr>
              <w:adjustRightInd w:val="0"/>
              <w:snapToGrid w:val="0"/>
              <w:jc w:val="left"/>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kern w:val="2"/>
                <w:sz w:val="22"/>
                <w:szCs w:val="22"/>
                <w:highlight w:val="none"/>
                <w:u w:val="none"/>
                <w:lang w:val="en-US" w:eastAsia="zh-CN" w:bidi="ar-SA"/>
              </w:rPr>
              <w:t>养老机构护理型床位占比</w:t>
            </w:r>
            <w:r>
              <w:rPr>
                <w:rFonts w:hint="default" w:ascii="Times New Roman" w:hAnsi="Times New Roman" w:eastAsia="仿宋_GB2312" w:cs="Times New Roman"/>
                <w:sz w:val="22"/>
                <w:szCs w:val="22"/>
                <w:highlight w:val="none"/>
                <w:u w:val="none"/>
              </w:rPr>
              <w:t>（%）</w:t>
            </w:r>
          </w:p>
        </w:tc>
        <w:tc>
          <w:tcPr>
            <w:tcW w:w="1134" w:type="dxa"/>
            <w:shd w:val="clear" w:color="auto" w:fill="auto"/>
            <w:vAlign w:val="center"/>
          </w:tcPr>
          <w:p w14:paraId="7BCDE1AD">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eastAsia" w:ascii="Times New Roman" w:hAnsi="Times New Roman" w:eastAsia="仿宋_GB2312" w:cs="Times New Roman"/>
                <w:kern w:val="2"/>
                <w:sz w:val="24"/>
                <w:szCs w:val="24"/>
                <w:highlight w:val="none"/>
                <w:u w:val="none"/>
                <w:lang w:val="en-US" w:eastAsia="zh-CN" w:bidi="ar-SA"/>
              </w:rPr>
              <w:t>60.1</w:t>
            </w:r>
            <w:r>
              <w:rPr>
                <w:rFonts w:hint="default" w:ascii="Times New Roman" w:hAnsi="Times New Roman" w:eastAsia="仿宋_GB2312" w:cs="Times New Roman"/>
                <w:kern w:val="2"/>
                <w:sz w:val="24"/>
                <w:szCs w:val="24"/>
                <w:highlight w:val="none"/>
                <w:u w:val="none"/>
                <w:lang w:val="en-US" w:eastAsia="zh-CN" w:bidi="ar-SA"/>
              </w:rPr>
              <w:t>%</w:t>
            </w:r>
          </w:p>
        </w:tc>
        <w:tc>
          <w:tcPr>
            <w:tcW w:w="1275" w:type="dxa"/>
            <w:shd w:val="clear" w:color="auto" w:fill="auto"/>
            <w:vAlign w:val="center"/>
          </w:tcPr>
          <w:p w14:paraId="2457B404">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eastAsia" w:ascii="Times New Roman" w:hAnsi="Times New Roman" w:eastAsia="仿宋_GB2312" w:cs="Times New Roman"/>
                <w:kern w:val="2"/>
                <w:sz w:val="24"/>
                <w:szCs w:val="24"/>
                <w:highlight w:val="none"/>
                <w:u w:val="none"/>
                <w:lang w:val="en-US" w:eastAsia="zh-CN" w:bidi="ar-SA"/>
              </w:rPr>
              <w:t>76</w:t>
            </w:r>
            <w:r>
              <w:rPr>
                <w:rFonts w:hint="default" w:ascii="Times New Roman" w:hAnsi="Times New Roman" w:eastAsia="仿宋_GB2312" w:cs="Times New Roman"/>
                <w:kern w:val="2"/>
                <w:sz w:val="24"/>
                <w:szCs w:val="24"/>
                <w:highlight w:val="none"/>
                <w:u w:val="none"/>
                <w:lang w:val="en-US" w:eastAsia="zh-CN" w:bidi="ar-SA"/>
              </w:rPr>
              <w:t>%</w:t>
            </w:r>
          </w:p>
        </w:tc>
        <w:tc>
          <w:tcPr>
            <w:tcW w:w="1134" w:type="dxa"/>
            <w:shd w:val="clear" w:color="auto" w:fill="auto"/>
            <w:vAlign w:val="center"/>
          </w:tcPr>
          <w:p w14:paraId="53A1D531">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w:t>
            </w:r>
          </w:p>
        </w:tc>
        <w:tc>
          <w:tcPr>
            <w:tcW w:w="988" w:type="dxa"/>
            <w:shd w:val="clear" w:color="auto" w:fill="auto"/>
            <w:vAlign w:val="center"/>
          </w:tcPr>
          <w:p w14:paraId="027CAD8B">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kern w:val="2"/>
                <w:sz w:val="24"/>
                <w:szCs w:val="24"/>
                <w:highlight w:val="none"/>
                <w:u w:val="none"/>
                <w:lang w:val="en-US" w:eastAsia="zh-CN" w:bidi="ar-SA"/>
              </w:rPr>
              <w:t>预期性</w:t>
            </w:r>
          </w:p>
        </w:tc>
      </w:tr>
      <w:tr w14:paraId="2489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6" w:hRule="atLeast"/>
          <w:jc w:val="center"/>
        </w:trPr>
        <w:tc>
          <w:tcPr>
            <w:tcW w:w="663" w:type="dxa"/>
            <w:vMerge w:val="continue"/>
            <w:vAlign w:val="center"/>
          </w:tcPr>
          <w:p w14:paraId="6D685BB9">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5793B899">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7</w:t>
            </w:r>
          </w:p>
        </w:tc>
        <w:tc>
          <w:tcPr>
            <w:tcW w:w="3090" w:type="dxa"/>
            <w:shd w:val="clear" w:color="auto" w:fill="auto"/>
            <w:vAlign w:val="center"/>
          </w:tcPr>
          <w:p w14:paraId="591DB11A">
            <w:pPr>
              <w:adjustRightInd w:val="0"/>
              <w:snapToGrid w:val="0"/>
              <w:jc w:val="left"/>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人均预期寿命（岁）</w:t>
            </w:r>
          </w:p>
        </w:tc>
        <w:tc>
          <w:tcPr>
            <w:tcW w:w="1134" w:type="dxa"/>
            <w:shd w:val="clear" w:color="auto" w:fill="auto"/>
            <w:vAlign w:val="center"/>
          </w:tcPr>
          <w:p w14:paraId="63202562">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lang w:val="en-US" w:eastAsia="zh-CN"/>
              </w:rPr>
              <w:t>79.2</w:t>
            </w:r>
          </w:p>
        </w:tc>
        <w:tc>
          <w:tcPr>
            <w:tcW w:w="1275" w:type="dxa"/>
            <w:shd w:val="clear" w:color="auto" w:fill="auto"/>
            <w:vAlign w:val="center"/>
          </w:tcPr>
          <w:p w14:paraId="634712DE">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80</w:t>
            </w:r>
            <w:r>
              <w:rPr>
                <w:rFonts w:hint="default" w:ascii="Times New Roman" w:hAnsi="Times New Roman" w:eastAsia="仿宋_GB2312" w:cs="Times New Roman"/>
                <w:sz w:val="24"/>
                <w:szCs w:val="24"/>
                <w:highlight w:val="none"/>
                <w:u w:val="none"/>
                <w:lang w:val="en-US" w:eastAsia="zh-CN"/>
              </w:rPr>
              <w:t>以上</w:t>
            </w:r>
          </w:p>
        </w:tc>
        <w:tc>
          <w:tcPr>
            <w:tcW w:w="1134" w:type="dxa"/>
            <w:shd w:val="clear" w:color="auto" w:fill="auto"/>
            <w:vAlign w:val="center"/>
          </w:tcPr>
          <w:p w14:paraId="38ABA890">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w:t>
            </w:r>
          </w:p>
        </w:tc>
        <w:tc>
          <w:tcPr>
            <w:tcW w:w="988" w:type="dxa"/>
            <w:shd w:val="clear" w:color="auto" w:fill="auto"/>
            <w:vAlign w:val="center"/>
          </w:tcPr>
          <w:p w14:paraId="2C6E74F4">
            <w:pPr>
              <w:adjustRightInd w:val="0"/>
              <w:snapToGrid w:val="0"/>
              <w:jc w:val="center"/>
              <w:rPr>
                <w:rFonts w:hint="default" w:ascii="Times New Roman" w:hAnsi="Times New Roman" w:eastAsia="仿宋_GB2312" w:cs="Times New Roman"/>
                <w:kern w:val="2"/>
                <w:sz w:val="24"/>
                <w:szCs w:val="24"/>
                <w:highlight w:val="none"/>
                <w:u w:val="none"/>
                <w:lang w:val="en-US" w:eastAsia="zh-CN" w:bidi="ar-SA"/>
              </w:rPr>
            </w:pPr>
            <w:r>
              <w:rPr>
                <w:rFonts w:hint="default" w:ascii="Times New Roman" w:hAnsi="Times New Roman" w:eastAsia="仿宋_GB2312" w:cs="Times New Roman"/>
                <w:sz w:val="24"/>
                <w:szCs w:val="24"/>
                <w:highlight w:val="none"/>
                <w:u w:val="none"/>
              </w:rPr>
              <w:t>预期性</w:t>
            </w:r>
          </w:p>
        </w:tc>
      </w:tr>
      <w:tr w14:paraId="1035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restart"/>
            <w:vAlign w:val="center"/>
          </w:tcPr>
          <w:p w14:paraId="22DF5084">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绿色</w:t>
            </w:r>
          </w:p>
          <w:p w14:paraId="4B7C7E3E">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生态</w:t>
            </w:r>
          </w:p>
        </w:tc>
        <w:tc>
          <w:tcPr>
            <w:tcW w:w="500" w:type="dxa"/>
            <w:vAlign w:val="center"/>
          </w:tcPr>
          <w:p w14:paraId="0203FF1F">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8</w:t>
            </w:r>
          </w:p>
        </w:tc>
        <w:tc>
          <w:tcPr>
            <w:tcW w:w="3090" w:type="dxa"/>
            <w:vAlign w:val="center"/>
          </w:tcPr>
          <w:p w14:paraId="6E5EFFA2">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非化石能源占能源消费总量比重</w:t>
            </w:r>
            <w:r>
              <w:rPr>
                <w:rFonts w:hint="eastAsia"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rPr>
              <w:t>%</w:t>
            </w:r>
            <w:r>
              <w:rPr>
                <w:rFonts w:hint="eastAsia" w:ascii="Times New Roman" w:hAnsi="Times New Roman" w:eastAsia="仿宋_GB2312" w:cs="Times New Roman"/>
                <w:sz w:val="24"/>
                <w:szCs w:val="24"/>
                <w:highlight w:val="none"/>
                <w:u w:val="none"/>
                <w:lang w:eastAsia="zh-CN"/>
              </w:rPr>
              <w:t>）</w:t>
            </w:r>
          </w:p>
        </w:tc>
        <w:tc>
          <w:tcPr>
            <w:tcW w:w="1134" w:type="dxa"/>
            <w:vAlign w:val="center"/>
          </w:tcPr>
          <w:p w14:paraId="4D81CC9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市下达</w:t>
            </w:r>
          </w:p>
        </w:tc>
        <w:tc>
          <w:tcPr>
            <w:tcW w:w="1275" w:type="dxa"/>
            <w:vAlign w:val="center"/>
          </w:tcPr>
          <w:p w14:paraId="079356AA">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市下达</w:t>
            </w:r>
          </w:p>
        </w:tc>
        <w:tc>
          <w:tcPr>
            <w:tcW w:w="1134" w:type="dxa"/>
            <w:vAlign w:val="center"/>
          </w:tcPr>
          <w:p w14:paraId="3A707101">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06AC0484">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6B33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6" w:hRule="atLeast"/>
          <w:jc w:val="center"/>
        </w:trPr>
        <w:tc>
          <w:tcPr>
            <w:tcW w:w="663" w:type="dxa"/>
            <w:vMerge w:val="continue"/>
            <w:vAlign w:val="center"/>
          </w:tcPr>
          <w:p w14:paraId="7E8E5362">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3521C619">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1</w:t>
            </w:r>
            <w:r>
              <w:rPr>
                <w:rFonts w:hint="default" w:ascii="Times New Roman" w:hAnsi="Times New Roman" w:eastAsia="仿宋_GB2312" w:cs="Times New Roman"/>
                <w:sz w:val="24"/>
                <w:szCs w:val="24"/>
                <w:highlight w:val="none"/>
                <w:u w:val="none"/>
                <w:lang w:val="en-US" w:eastAsia="zh-CN"/>
              </w:rPr>
              <w:t>9</w:t>
            </w:r>
          </w:p>
        </w:tc>
        <w:tc>
          <w:tcPr>
            <w:tcW w:w="3090" w:type="dxa"/>
            <w:vAlign w:val="center"/>
          </w:tcPr>
          <w:p w14:paraId="6BB96B58">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单位 GDP碳排放强度降低</w:t>
            </w:r>
            <w:r>
              <w:rPr>
                <w:rFonts w:hint="eastAsia"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rPr>
              <w:t>%</w:t>
            </w:r>
            <w:r>
              <w:rPr>
                <w:rFonts w:hint="eastAsia"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rPr>
              <w:t xml:space="preserve"> </w:t>
            </w:r>
          </w:p>
        </w:tc>
        <w:tc>
          <w:tcPr>
            <w:tcW w:w="1134" w:type="dxa"/>
            <w:vAlign w:val="center"/>
          </w:tcPr>
          <w:p w14:paraId="43580D00">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市下达</w:t>
            </w:r>
          </w:p>
        </w:tc>
        <w:tc>
          <w:tcPr>
            <w:tcW w:w="1275" w:type="dxa"/>
            <w:vAlign w:val="center"/>
          </w:tcPr>
          <w:p w14:paraId="23F7808F">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市下达</w:t>
            </w:r>
          </w:p>
        </w:tc>
        <w:tc>
          <w:tcPr>
            <w:tcW w:w="1134" w:type="dxa"/>
            <w:vAlign w:val="center"/>
          </w:tcPr>
          <w:p w14:paraId="690BB355">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00EBA55D">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0461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continue"/>
            <w:vAlign w:val="center"/>
          </w:tcPr>
          <w:p w14:paraId="222FCD17">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1EDBAFD8">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20</w:t>
            </w:r>
          </w:p>
        </w:tc>
        <w:tc>
          <w:tcPr>
            <w:tcW w:w="3090" w:type="dxa"/>
            <w:vAlign w:val="center"/>
          </w:tcPr>
          <w:p w14:paraId="6CF5A5B1">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空气质量优良天数比率（%）</w:t>
            </w:r>
          </w:p>
        </w:tc>
        <w:tc>
          <w:tcPr>
            <w:tcW w:w="1134" w:type="dxa"/>
            <w:vAlign w:val="center"/>
          </w:tcPr>
          <w:p w14:paraId="26E2684B">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85.3</w:t>
            </w:r>
          </w:p>
        </w:tc>
        <w:tc>
          <w:tcPr>
            <w:tcW w:w="1275" w:type="dxa"/>
            <w:vAlign w:val="center"/>
          </w:tcPr>
          <w:p w14:paraId="56C7DBCA">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90</w:t>
            </w:r>
            <w:r>
              <w:rPr>
                <w:rFonts w:hint="eastAsia" w:ascii="Times New Roman" w:hAnsi="Times New Roman" w:eastAsia="仿宋_GB2312" w:cs="Times New Roman"/>
                <w:sz w:val="24"/>
                <w:szCs w:val="24"/>
                <w:highlight w:val="none"/>
                <w:u w:val="none"/>
                <w:lang w:val="en-US" w:eastAsia="zh-CN"/>
              </w:rPr>
              <w:t>.4</w:t>
            </w:r>
          </w:p>
        </w:tc>
        <w:tc>
          <w:tcPr>
            <w:tcW w:w="1134" w:type="dxa"/>
            <w:vAlign w:val="center"/>
          </w:tcPr>
          <w:p w14:paraId="4C47A65B">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73C5BFF5">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预期性</w:t>
            </w:r>
          </w:p>
        </w:tc>
      </w:tr>
      <w:tr w14:paraId="4D32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continue"/>
            <w:vAlign w:val="center"/>
          </w:tcPr>
          <w:p w14:paraId="3E5E456C">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419A247D">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2</w:t>
            </w:r>
            <w:r>
              <w:rPr>
                <w:rFonts w:hint="default" w:ascii="Times New Roman" w:hAnsi="Times New Roman" w:eastAsia="仿宋_GB2312" w:cs="Times New Roman"/>
                <w:sz w:val="24"/>
                <w:szCs w:val="24"/>
                <w:highlight w:val="none"/>
                <w:u w:val="none"/>
                <w:lang w:val="en-US" w:eastAsia="zh-CN"/>
              </w:rPr>
              <w:t>1</w:t>
            </w:r>
          </w:p>
        </w:tc>
        <w:tc>
          <w:tcPr>
            <w:tcW w:w="3090" w:type="dxa"/>
            <w:vAlign w:val="center"/>
          </w:tcPr>
          <w:p w14:paraId="5176AA99">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地表水达到或好于Ⅲ类水体比例（%）</w:t>
            </w:r>
          </w:p>
        </w:tc>
        <w:tc>
          <w:tcPr>
            <w:tcW w:w="1134" w:type="dxa"/>
            <w:vAlign w:val="center"/>
          </w:tcPr>
          <w:p w14:paraId="507B8B9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100</w:t>
            </w:r>
          </w:p>
        </w:tc>
        <w:tc>
          <w:tcPr>
            <w:tcW w:w="1275" w:type="dxa"/>
            <w:vAlign w:val="center"/>
          </w:tcPr>
          <w:p w14:paraId="2EA7222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市下达</w:t>
            </w:r>
          </w:p>
        </w:tc>
        <w:tc>
          <w:tcPr>
            <w:tcW w:w="1134" w:type="dxa"/>
            <w:vAlign w:val="center"/>
          </w:tcPr>
          <w:p w14:paraId="5CD62D80">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1F9C6098">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1FAC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continue"/>
            <w:vAlign w:val="center"/>
          </w:tcPr>
          <w:p w14:paraId="1FA31247">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4E00F845">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2</w:t>
            </w:r>
            <w:r>
              <w:rPr>
                <w:rFonts w:hint="default" w:ascii="Times New Roman" w:hAnsi="Times New Roman" w:eastAsia="仿宋_GB2312" w:cs="Times New Roman"/>
                <w:sz w:val="24"/>
                <w:szCs w:val="24"/>
                <w:highlight w:val="none"/>
                <w:u w:val="none"/>
                <w:lang w:val="en-US" w:eastAsia="zh-CN"/>
              </w:rPr>
              <w:t>2</w:t>
            </w:r>
          </w:p>
        </w:tc>
        <w:tc>
          <w:tcPr>
            <w:tcW w:w="3090" w:type="dxa"/>
            <w:vAlign w:val="center"/>
          </w:tcPr>
          <w:p w14:paraId="16415E0A">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森林覆盖率（%）</w:t>
            </w:r>
          </w:p>
        </w:tc>
        <w:tc>
          <w:tcPr>
            <w:tcW w:w="1134" w:type="dxa"/>
            <w:vAlign w:val="center"/>
          </w:tcPr>
          <w:p w14:paraId="64C1597B">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19.46</w:t>
            </w:r>
          </w:p>
        </w:tc>
        <w:tc>
          <w:tcPr>
            <w:tcW w:w="1275" w:type="dxa"/>
            <w:vAlign w:val="center"/>
          </w:tcPr>
          <w:p w14:paraId="6892B832">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1134" w:type="dxa"/>
            <w:vAlign w:val="center"/>
          </w:tcPr>
          <w:p w14:paraId="5FB1414F">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2E236A2A">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30FE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Align w:val="center"/>
          </w:tcPr>
          <w:p w14:paraId="7AFEDABB">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528A89C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23</w:t>
            </w:r>
          </w:p>
        </w:tc>
        <w:tc>
          <w:tcPr>
            <w:tcW w:w="3090" w:type="dxa"/>
            <w:vAlign w:val="center"/>
          </w:tcPr>
          <w:p w14:paraId="6D4CFDF9">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土壤有机质含量增加</w:t>
            </w:r>
            <w:r>
              <w:rPr>
                <w:rFonts w:hint="eastAsia"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rPr>
              <w:t>个百分点</w:t>
            </w:r>
            <w:r>
              <w:rPr>
                <w:rFonts w:hint="eastAsia" w:ascii="Times New Roman" w:hAnsi="Times New Roman" w:eastAsia="仿宋_GB2312" w:cs="Times New Roman"/>
                <w:sz w:val="24"/>
                <w:szCs w:val="24"/>
                <w:highlight w:val="none"/>
                <w:u w:val="none"/>
                <w:lang w:eastAsia="zh-CN"/>
              </w:rPr>
              <w:t>）</w:t>
            </w:r>
          </w:p>
        </w:tc>
        <w:tc>
          <w:tcPr>
            <w:tcW w:w="1134" w:type="dxa"/>
            <w:vAlign w:val="center"/>
          </w:tcPr>
          <w:p w14:paraId="7A1AAF50">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w:t>
            </w:r>
          </w:p>
        </w:tc>
        <w:tc>
          <w:tcPr>
            <w:tcW w:w="1275" w:type="dxa"/>
            <w:vAlign w:val="center"/>
          </w:tcPr>
          <w:p w14:paraId="3BD17172">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市下达</w:t>
            </w:r>
          </w:p>
        </w:tc>
        <w:tc>
          <w:tcPr>
            <w:tcW w:w="1134" w:type="dxa"/>
            <w:vAlign w:val="center"/>
          </w:tcPr>
          <w:p w14:paraId="5C2E0860">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61BF1A2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预期性</w:t>
            </w:r>
          </w:p>
        </w:tc>
      </w:tr>
      <w:tr w14:paraId="63CE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restart"/>
            <w:vAlign w:val="center"/>
          </w:tcPr>
          <w:p w14:paraId="38D35276">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安全保障</w:t>
            </w:r>
          </w:p>
        </w:tc>
        <w:tc>
          <w:tcPr>
            <w:tcW w:w="500" w:type="dxa"/>
            <w:vAlign w:val="center"/>
          </w:tcPr>
          <w:p w14:paraId="1E0F3CC1">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2</w:t>
            </w:r>
            <w:r>
              <w:rPr>
                <w:rFonts w:hint="default" w:ascii="Times New Roman" w:hAnsi="Times New Roman" w:eastAsia="仿宋_GB2312" w:cs="Times New Roman"/>
                <w:sz w:val="24"/>
                <w:szCs w:val="24"/>
                <w:highlight w:val="none"/>
                <w:u w:val="none"/>
                <w:lang w:val="en-US" w:eastAsia="zh-CN"/>
              </w:rPr>
              <w:t>4</w:t>
            </w:r>
          </w:p>
        </w:tc>
        <w:tc>
          <w:tcPr>
            <w:tcW w:w="3090" w:type="dxa"/>
            <w:vAlign w:val="center"/>
          </w:tcPr>
          <w:p w14:paraId="499A8151">
            <w:pPr>
              <w:adjustRightInd w:val="0"/>
              <w:snapToGrid w:val="0"/>
              <w:jc w:val="left"/>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粮食综合生产能力（亿斤）</w:t>
            </w:r>
          </w:p>
        </w:tc>
        <w:tc>
          <w:tcPr>
            <w:tcW w:w="1134" w:type="dxa"/>
            <w:vAlign w:val="center"/>
          </w:tcPr>
          <w:p w14:paraId="475FEC0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12</w:t>
            </w:r>
          </w:p>
        </w:tc>
        <w:tc>
          <w:tcPr>
            <w:tcW w:w="1275" w:type="dxa"/>
            <w:vAlign w:val="center"/>
          </w:tcPr>
          <w:p w14:paraId="45EE75BA">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突破</w:t>
            </w:r>
            <w:r>
              <w:rPr>
                <w:rFonts w:hint="default" w:ascii="Times New Roman" w:hAnsi="Times New Roman" w:eastAsia="仿宋_GB2312" w:cs="Times New Roman"/>
                <w:sz w:val="28"/>
                <w:szCs w:val="28"/>
                <w:highlight w:val="none"/>
                <w:u w:val="none"/>
              </w:rPr>
              <w:t>【</w:t>
            </w:r>
            <w:r>
              <w:rPr>
                <w:rFonts w:hint="default" w:ascii="Times New Roman" w:hAnsi="Times New Roman" w:eastAsia="仿宋_GB2312" w:cs="Times New Roman"/>
                <w:sz w:val="24"/>
                <w:szCs w:val="24"/>
                <w:highlight w:val="none"/>
                <w:u w:val="none"/>
              </w:rPr>
              <w:t>60</w:t>
            </w:r>
            <w:r>
              <w:rPr>
                <w:rFonts w:hint="default" w:ascii="Times New Roman" w:hAnsi="Times New Roman" w:eastAsia="仿宋_GB2312" w:cs="Times New Roman"/>
                <w:sz w:val="28"/>
                <w:szCs w:val="28"/>
                <w:highlight w:val="none"/>
                <w:u w:val="none"/>
              </w:rPr>
              <w:t>】</w:t>
            </w:r>
            <w:r>
              <w:rPr>
                <w:rFonts w:hint="default" w:ascii="Times New Roman" w:hAnsi="Times New Roman" w:eastAsia="仿宋_GB2312" w:cs="Times New Roman"/>
                <w:sz w:val="24"/>
                <w:szCs w:val="24"/>
                <w:highlight w:val="none"/>
                <w:u w:val="none"/>
                <w:lang w:val="en-US" w:eastAsia="zh-CN"/>
              </w:rPr>
              <w:t>以上</w:t>
            </w:r>
          </w:p>
        </w:tc>
        <w:tc>
          <w:tcPr>
            <w:tcW w:w="1134" w:type="dxa"/>
            <w:vAlign w:val="center"/>
          </w:tcPr>
          <w:p w14:paraId="68272859">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4143DEF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37F9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continue"/>
            <w:vAlign w:val="center"/>
          </w:tcPr>
          <w:p w14:paraId="7A46E6C8">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0D107D7F">
            <w:pPr>
              <w:adjustRightInd w:val="0"/>
              <w:snapToGrid w:val="0"/>
              <w:jc w:val="center"/>
              <w:rPr>
                <w:rFonts w:hint="default" w:ascii="Times New Roman" w:hAnsi="Times New Roman" w:eastAsia="仿宋_GB2312" w:cs="Times New Roman"/>
                <w:sz w:val="24"/>
                <w:szCs w:val="24"/>
                <w:highlight w:val="none"/>
                <w:u w:val="none"/>
                <w:lang w:eastAsia="zh-CN"/>
              </w:rPr>
            </w:pPr>
            <w:r>
              <w:rPr>
                <w:rFonts w:hint="default" w:ascii="Times New Roman" w:hAnsi="Times New Roman" w:eastAsia="仿宋_GB2312" w:cs="Times New Roman"/>
                <w:sz w:val="24"/>
                <w:szCs w:val="24"/>
                <w:highlight w:val="none"/>
                <w:u w:val="none"/>
              </w:rPr>
              <w:t>2</w:t>
            </w:r>
            <w:r>
              <w:rPr>
                <w:rFonts w:hint="default" w:ascii="Times New Roman" w:hAnsi="Times New Roman" w:eastAsia="仿宋_GB2312" w:cs="Times New Roman"/>
                <w:sz w:val="24"/>
                <w:szCs w:val="24"/>
                <w:highlight w:val="none"/>
                <w:u w:val="none"/>
                <w:lang w:val="en-US" w:eastAsia="zh-CN"/>
              </w:rPr>
              <w:t>5</w:t>
            </w:r>
          </w:p>
        </w:tc>
        <w:tc>
          <w:tcPr>
            <w:tcW w:w="3090" w:type="dxa"/>
            <w:vAlign w:val="center"/>
          </w:tcPr>
          <w:p w14:paraId="4CAB27E9">
            <w:pPr>
              <w:adjustRightInd w:val="0"/>
              <w:snapToGrid w:val="0"/>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粮食播种面积（万亩）</w:t>
            </w:r>
          </w:p>
        </w:tc>
        <w:tc>
          <w:tcPr>
            <w:tcW w:w="1134" w:type="dxa"/>
            <w:vAlign w:val="center"/>
          </w:tcPr>
          <w:p w14:paraId="5D26E704">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132.6</w:t>
            </w:r>
          </w:p>
        </w:tc>
        <w:tc>
          <w:tcPr>
            <w:tcW w:w="1275" w:type="dxa"/>
            <w:vAlign w:val="center"/>
          </w:tcPr>
          <w:p w14:paraId="38796855">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稳定132以上</w:t>
            </w:r>
          </w:p>
        </w:tc>
        <w:tc>
          <w:tcPr>
            <w:tcW w:w="1134" w:type="dxa"/>
            <w:vAlign w:val="center"/>
          </w:tcPr>
          <w:p w14:paraId="24A46397">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518D621C">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约束性</w:t>
            </w:r>
          </w:p>
        </w:tc>
      </w:tr>
      <w:tr w14:paraId="5B95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63" w:type="dxa"/>
            <w:vMerge w:val="continue"/>
            <w:vAlign w:val="center"/>
          </w:tcPr>
          <w:p w14:paraId="5246A45C">
            <w:pPr>
              <w:adjustRightInd w:val="0"/>
              <w:snapToGrid w:val="0"/>
              <w:jc w:val="center"/>
              <w:rPr>
                <w:rFonts w:hint="default" w:ascii="Times New Roman" w:hAnsi="Times New Roman" w:eastAsia="仿宋_GB2312" w:cs="Times New Roman"/>
                <w:sz w:val="24"/>
                <w:szCs w:val="24"/>
                <w:highlight w:val="none"/>
                <w:u w:val="none"/>
              </w:rPr>
            </w:pPr>
          </w:p>
        </w:tc>
        <w:tc>
          <w:tcPr>
            <w:tcW w:w="500" w:type="dxa"/>
            <w:vAlign w:val="center"/>
          </w:tcPr>
          <w:p w14:paraId="1B959729">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26</w:t>
            </w:r>
          </w:p>
        </w:tc>
        <w:tc>
          <w:tcPr>
            <w:tcW w:w="3090" w:type="dxa"/>
            <w:vAlign w:val="center"/>
          </w:tcPr>
          <w:p w14:paraId="4C96F99C">
            <w:pPr>
              <w:adjustRightInd w:val="0"/>
              <w:snapToGrid w:val="0"/>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能源综合生产能力（万吨标准煤）</w:t>
            </w:r>
          </w:p>
        </w:tc>
        <w:tc>
          <w:tcPr>
            <w:tcW w:w="1134" w:type="dxa"/>
            <w:vAlign w:val="center"/>
          </w:tcPr>
          <w:p w14:paraId="2F4B8FC0">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rPr>
              <w:t>——</w:t>
            </w:r>
          </w:p>
        </w:tc>
        <w:tc>
          <w:tcPr>
            <w:tcW w:w="1275" w:type="dxa"/>
            <w:vAlign w:val="center"/>
          </w:tcPr>
          <w:p w14:paraId="306BDC4A">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rPr>
              <w:t>——</w:t>
            </w:r>
          </w:p>
        </w:tc>
        <w:tc>
          <w:tcPr>
            <w:tcW w:w="1134" w:type="dxa"/>
            <w:vAlign w:val="center"/>
          </w:tcPr>
          <w:p w14:paraId="2CD74EA1">
            <w:pPr>
              <w:adjustRightInd w:val="0"/>
              <w:snapToGrid w:val="0"/>
              <w:jc w:val="center"/>
              <w:rPr>
                <w:rFonts w:hint="default" w:ascii="Times New Roman" w:hAnsi="Times New Roman" w:eastAsia="仿宋_GB2312" w:cs="Times New Roman"/>
                <w:sz w:val="24"/>
                <w:szCs w:val="24"/>
                <w:highlight w:val="none"/>
                <w:u w:val="none"/>
              </w:rPr>
            </w:pPr>
            <w:r>
              <w:rPr>
                <w:rFonts w:hint="default" w:ascii="Times New Roman" w:hAnsi="Times New Roman" w:eastAsia="仿宋_GB2312" w:cs="Times New Roman"/>
                <w:sz w:val="24"/>
                <w:szCs w:val="24"/>
                <w:highlight w:val="none"/>
                <w:u w:val="none"/>
              </w:rPr>
              <w:t>——</w:t>
            </w:r>
          </w:p>
        </w:tc>
        <w:tc>
          <w:tcPr>
            <w:tcW w:w="988" w:type="dxa"/>
            <w:vAlign w:val="center"/>
          </w:tcPr>
          <w:p w14:paraId="6B637A96">
            <w:pPr>
              <w:adjustRightInd w:val="0"/>
              <w:snapToGrid w:val="0"/>
              <w:jc w:val="center"/>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仿宋_GB2312" w:cs="Times New Roman"/>
                <w:sz w:val="24"/>
                <w:szCs w:val="24"/>
                <w:highlight w:val="none"/>
                <w:u w:val="none"/>
                <w:lang w:val="en-US" w:eastAsia="zh-CN"/>
              </w:rPr>
              <w:t>约束性</w:t>
            </w:r>
          </w:p>
        </w:tc>
      </w:tr>
    </w:tbl>
    <w:p w14:paraId="5C3CCA56">
      <w:pPr>
        <w:autoSpaceDE w:val="0"/>
        <w:autoSpaceDN w:val="0"/>
        <w:spacing w:line="480" w:lineRule="auto"/>
        <w:rPr>
          <w:rFonts w:hint="default" w:ascii="Times New Roman" w:hAnsi="Times New Roman" w:eastAsia="仿宋_GB2312" w:cs="Times New Roman"/>
          <w:sz w:val="28"/>
          <w:szCs w:val="28"/>
          <w:highlight w:val="none"/>
          <w:u w:val="none"/>
        </w:rPr>
      </w:pPr>
      <w:r>
        <w:rPr>
          <w:rFonts w:hint="default" w:ascii="Times New Roman" w:hAnsi="Times New Roman" w:eastAsia="仿宋_GB2312" w:cs="Times New Roman"/>
          <w:sz w:val="28"/>
          <w:szCs w:val="28"/>
          <w:highlight w:val="none"/>
          <w:u w:val="none"/>
        </w:rPr>
        <w:t>注：2030年目标数按2024年不变价格测算；【】内为五年累计数。</w:t>
      </w:r>
    </w:p>
    <w:p w14:paraId="4B4F12BC">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19" w:name="_Toc216985855"/>
      <w:r>
        <w:rPr>
          <w:rFonts w:hint="default" w:ascii="Times New Roman" w:hAnsi="Times New Roman" w:eastAsia="方正小标宋简体" w:cs="Times New Roman"/>
          <w:b w:val="0"/>
          <w:bCs/>
          <w:sz w:val="32"/>
          <w:szCs w:val="32"/>
          <w:highlight w:val="none"/>
          <w:u w:val="none"/>
          <w:lang w:val="zh-CN"/>
        </w:rPr>
        <w:t>第三章 培育发展新质生产力，构建现代化产业体系</w:t>
      </w:r>
      <w:bookmarkEnd w:id="19"/>
    </w:p>
    <w:p w14:paraId="338E818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紧扣区域发展定位，聚焦产业升级与结构优化，围绕“发展四大主导产业、建强八</w:t>
      </w:r>
      <w:r>
        <w:rPr>
          <w:rFonts w:hint="default" w:ascii="Times New Roman" w:hAnsi="Times New Roman" w:eastAsia="仿宋_GB2312" w:cs="Times New Roman"/>
          <w:sz w:val="32"/>
          <w:szCs w:val="32"/>
          <w:highlight w:val="none"/>
          <w:u w:val="none"/>
          <w:lang w:val="en-US" w:eastAsia="zh-CN"/>
        </w:rPr>
        <w:t>条</w:t>
      </w:r>
      <w:r>
        <w:rPr>
          <w:rFonts w:hint="default" w:ascii="Times New Roman" w:hAnsi="Times New Roman" w:eastAsia="仿宋_GB2312" w:cs="Times New Roman"/>
          <w:sz w:val="32"/>
          <w:szCs w:val="32"/>
          <w:highlight w:val="none"/>
          <w:u w:val="none"/>
        </w:rPr>
        <w:t>产业链”，以科技创新为引领，着力培育新质生产力，系统推进传统优势产业改造升级、战略性新兴产业培育壮大、未来产业前瞻布局，加速构建结构优化、技术先进、链条完整、融合发展的现代化产业体系，打造佳木斯产业高质量发展示范区。</w:t>
      </w:r>
    </w:p>
    <w:p w14:paraId="7D0BD99A">
      <w:pPr>
        <w:pStyle w:val="3"/>
        <w:keepNext w:val="0"/>
        <w:keepLines w:val="0"/>
        <w:pageBreakBefore w:val="0"/>
        <w:widowControl w:val="0"/>
        <w:kinsoku/>
        <w:wordWrap/>
        <w:overflowPunct w:val="0"/>
        <w:topLinePunct w:val="0"/>
        <w:autoSpaceDE/>
        <w:autoSpaceDN/>
        <w:bidi w:val="0"/>
        <w:adjustRightInd/>
        <w:snapToGrid/>
        <w:spacing w:before="0" w:after="0" w:line="600" w:lineRule="exact"/>
        <w:ind w:firstLine="640" w:firstLineChars="200"/>
        <w:textAlignment w:val="auto"/>
        <w:rPr>
          <w:rFonts w:hint="default" w:ascii="Times New Roman" w:hAnsi="Times New Roman" w:eastAsia="黑体" w:cs="Times New Roman"/>
          <w:b w:val="0"/>
          <w:bCs w:val="0"/>
          <w:highlight w:val="none"/>
          <w:u w:val="none"/>
          <w:lang w:val="zh-CN"/>
        </w:rPr>
      </w:pPr>
      <w:bookmarkStart w:id="20" w:name="_Toc216985856"/>
      <w:r>
        <w:rPr>
          <w:rFonts w:hint="default" w:ascii="Times New Roman" w:hAnsi="Times New Roman" w:eastAsia="黑体" w:cs="Times New Roman"/>
          <w:b w:val="0"/>
          <w:bCs w:val="0"/>
          <w:highlight w:val="none"/>
          <w:u w:val="none"/>
          <w:lang w:val="zh-CN"/>
        </w:rPr>
        <w:t>一、改造升级传统优势产业</w:t>
      </w:r>
      <w:bookmarkEnd w:id="20"/>
    </w:p>
    <w:p w14:paraId="4AA7E6AD">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实施农机“智”造升级行动。</w:t>
      </w:r>
      <w:r>
        <w:rPr>
          <w:rFonts w:hint="default" w:ascii="Times New Roman" w:hAnsi="Times New Roman" w:eastAsia="仿宋_GB2312" w:cs="Times New Roman"/>
          <w:sz w:val="32"/>
          <w:szCs w:val="32"/>
          <w:highlight w:val="none"/>
          <w:u w:val="none"/>
        </w:rPr>
        <w:t>强化龙头引领，支持</w:t>
      </w:r>
      <w:r>
        <w:rPr>
          <w:rFonts w:hint="eastAsia" w:ascii="Times New Roman" w:hAnsi="Times New Roman" w:eastAsia="仿宋_GB2312" w:cs="Times New Roman"/>
          <w:sz w:val="32"/>
          <w:szCs w:val="32"/>
          <w:highlight w:val="none"/>
          <w:u w:val="none"/>
          <w:lang w:val="en-US" w:eastAsia="zh-CN"/>
        </w:rPr>
        <w:t>农机</w:t>
      </w:r>
      <w:r>
        <w:rPr>
          <w:rFonts w:hint="default" w:ascii="Times New Roman" w:hAnsi="Times New Roman" w:eastAsia="仿宋_GB2312" w:cs="Times New Roman"/>
          <w:sz w:val="32"/>
          <w:szCs w:val="32"/>
          <w:highlight w:val="none"/>
          <w:u w:val="none"/>
        </w:rPr>
        <w:t>骨干企业实施油电混动智能拖拉机量产，重点发展北斗导航拖拉机、气吸式精量播种机、智能收获机械、新能源混动拖拉机、智能除草机器人等新一代农机装备等先进产品。加快推进北斗水旱两用智能拖拉机产业化项目。实施配套攻坚，聚焦农机制造产业补链强链，围绕重点</w:t>
      </w:r>
      <w:r>
        <w:rPr>
          <w:rFonts w:hint="eastAsia" w:ascii="Times New Roman" w:hAnsi="Times New Roman" w:eastAsia="仿宋_GB2312" w:cs="Times New Roman"/>
          <w:sz w:val="32"/>
          <w:szCs w:val="32"/>
          <w:highlight w:val="none"/>
          <w:u w:val="none"/>
          <w:lang w:val="en-US" w:eastAsia="zh-CN"/>
        </w:rPr>
        <w:t>农机</w:t>
      </w:r>
      <w:r>
        <w:rPr>
          <w:rFonts w:hint="default" w:ascii="Times New Roman" w:hAnsi="Times New Roman" w:eastAsia="仿宋_GB2312" w:cs="Times New Roman"/>
          <w:sz w:val="32"/>
          <w:szCs w:val="32"/>
          <w:highlight w:val="none"/>
          <w:u w:val="none"/>
        </w:rPr>
        <w:t>企业，加强上下游项目配套，补齐补全关键环节，着力引进精密传动部件、智能控制系统等关键领域企业，补齐电控液压阀、高精度传感器等产业链短板。推进场景赋能，在敖其镇、建设“无人农场”示范区，推广农机自动驾驶作业20万亩。到2030年，“北国农机城”产业品牌影响力持续扩大，力争培育1户以上亿级龙头企业、5户以上千万级配套企业，实现10项以上科技成果转化，产业规模突破50亿元。</w:t>
      </w:r>
    </w:p>
    <w:p w14:paraId="76F26E31">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实施绿色食品加工提升工程。</w:t>
      </w:r>
      <w:r>
        <w:rPr>
          <w:rFonts w:hint="default" w:ascii="Times New Roman" w:hAnsi="Times New Roman" w:eastAsia="仿宋_GB2312" w:cs="Times New Roman"/>
          <w:sz w:val="32"/>
          <w:szCs w:val="32"/>
          <w:highlight w:val="none"/>
          <w:u w:val="none"/>
        </w:rPr>
        <w:t>大力实施绿色食品精深加工，加快培育大豆加工、肉类加工、功能性食品加工三</w:t>
      </w:r>
      <w:r>
        <w:rPr>
          <w:rFonts w:hint="default" w:ascii="Times New Roman" w:hAnsi="Times New Roman" w:eastAsia="仿宋_GB2312" w:cs="Times New Roman"/>
          <w:sz w:val="32"/>
          <w:szCs w:val="32"/>
          <w:highlight w:val="none"/>
          <w:u w:val="none"/>
          <w:lang w:val="en-US" w:eastAsia="zh-CN"/>
        </w:rPr>
        <w:t>条</w:t>
      </w:r>
      <w:r>
        <w:rPr>
          <w:rFonts w:hint="default" w:ascii="Times New Roman" w:hAnsi="Times New Roman" w:eastAsia="仿宋_GB2312" w:cs="Times New Roman"/>
          <w:sz w:val="32"/>
          <w:szCs w:val="32"/>
          <w:highlight w:val="none"/>
          <w:u w:val="none"/>
        </w:rPr>
        <w:t>产业链。重点发展玉米淀粉、生物基材料等玉米精深加工，豆浆、豆粉、休闲食品和蛋白精细加工等大豆精深加工，延伸稻米、米糠和稻壳产业链，提升农副产品附加值。统筹推进大健康食品产业园基础设施建设与食品企业招引，支持企业围绕大豆、玉米、畜禽蛋奶等积极开发健康食品，带动食品原料、包装、物流等多个产业链环节增值。坚持绿色食品加工品牌培育与质量提升双轮驱动，加快构建“郊宝贝”区域品牌+企业子品牌双轨体系。</w:t>
      </w:r>
    </w:p>
    <w:tbl>
      <w:tblPr>
        <w:tblStyle w:val="8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6713"/>
      </w:tblGrid>
      <w:tr w14:paraId="5BA2F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522" w:type="dxa"/>
            <w:gridSpan w:val="2"/>
            <w:vAlign w:val="center"/>
          </w:tcPr>
          <w:p w14:paraId="6517C30F">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专栏1 绿色食品产业提升工程</w:t>
            </w:r>
          </w:p>
        </w:tc>
      </w:tr>
      <w:tr w14:paraId="7F856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809" w:type="dxa"/>
            <w:vAlign w:val="center"/>
          </w:tcPr>
          <w:p w14:paraId="15D4CDF4">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任务</w:t>
            </w:r>
          </w:p>
        </w:tc>
        <w:tc>
          <w:tcPr>
            <w:tcW w:w="6713" w:type="dxa"/>
            <w:vAlign w:val="center"/>
          </w:tcPr>
          <w:p w14:paraId="1FEDC403">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建设内容</w:t>
            </w:r>
          </w:p>
        </w:tc>
      </w:tr>
      <w:tr w14:paraId="3D130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809" w:type="dxa"/>
            <w:vAlign w:val="center"/>
          </w:tcPr>
          <w:p w14:paraId="3CCD3D5F">
            <w:pPr>
              <w:jc w:val="left"/>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大豆产业链提质扩能工程</w:t>
            </w:r>
          </w:p>
        </w:tc>
        <w:tc>
          <w:tcPr>
            <w:tcW w:w="6713" w:type="dxa"/>
            <w:vAlign w:val="center"/>
          </w:tcPr>
          <w:p w14:paraId="28B82FEB">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发挥冬梅大豆“老字号”带动作用，引导5家重点大豆产业链企业扩大产能，探索开发大豆肽维饮料、大豆蛋白肉等新产品。</w:t>
            </w:r>
          </w:p>
        </w:tc>
      </w:tr>
      <w:tr w14:paraId="330FE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809" w:type="dxa"/>
            <w:vAlign w:val="center"/>
          </w:tcPr>
          <w:p w14:paraId="1EC08710">
            <w:pPr>
              <w:jc w:val="left"/>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肉类产业链增效升级工程</w:t>
            </w:r>
          </w:p>
        </w:tc>
        <w:tc>
          <w:tcPr>
            <w:tcW w:w="6713" w:type="dxa"/>
            <w:vAlign w:val="center"/>
          </w:tcPr>
          <w:p w14:paraId="5B0A3E96">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积极开发牛猪肉制品、副产品等，积极引进肉类养殖加工企业，推进顺达公司屠宰设备升级等项目。</w:t>
            </w:r>
          </w:p>
        </w:tc>
      </w:tr>
      <w:tr w14:paraId="3CFCF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1809" w:type="dxa"/>
            <w:vAlign w:val="center"/>
          </w:tcPr>
          <w:p w14:paraId="0556DC9A">
            <w:pPr>
              <w:jc w:val="left"/>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功能性食品产业链提升工程</w:t>
            </w:r>
          </w:p>
        </w:tc>
        <w:tc>
          <w:tcPr>
            <w:tcW w:w="6713" w:type="dxa"/>
            <w:vAlign w:val="center"/>
          </w:tcPr>
          <w:p w14:paraId="7059B837">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重点开发玉米淀粉、功能性稻米、大米固体饮料、速食、预制菜</w:t>
            </w:r>
            <w:r>
              <w:rPr>
                <w:rFonts w:hint="default" w:ascii="Times New Roman" w:hAnsi="Times New Roman" w:eastAsia="宋体" w:cs="Times New Roman"/>
                <w:sz w:val="24"/>
                <w:szCs w:val="24"/>
                <w:highlight w:val="none"/>
                <w:u w:val="none"/>
                <w:lang w:eastAsia="zh-CN"/>
              </w:rPr>
              <w:t>、</w:t>
            </w:r>
            <w:r>
              <w:rPr>
                <w:rFonts w:hint="default" w:ascii="Times New Roman" w:hAnsi="Times New Roman" w:eastAsia="宋体" w:cs="Times New Roman"/>
                <w:sz w:val="24"/>
                <w:szCs w:val="24"/>
                <w:highlight w:val="none"/>
                <w:u w:val="none"/>
              </w:rPr>
              <w:t>蓝莓饮料、速冻食品等高附加值产品及活性大豆粉、纤维化大豆蛋白、拉丝蛋白、人造肉、植物基素肉休闲食品、大豆深加工及中药纳豆产业化项目等。</w:t>
            </w:r>
          </w:p>
        </w:tc>
      </w:tr>
    </w:tbl>
    <w:p w14:paraId="50E7A1D3">
      <w:pPr>
        <w:keepNext w:val="0"/>
        <w:keepLines w:val="0"/>
        <w:pageBreakBefore w:val="0"/>
        <w:widowControl w:val="0"/>
        <w:kinsoku/>
        <w:wordWrap/>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实施轻工制造价值链提升行动。</w:t>
      </w:r>
      <w:bookmarkStart w:id="21" w:name="OLE_LINK17"/>
      <w:r>
        <w:rPr>
          <w:rFonts w:hint="default" w:ascii="Times New Roman" w:hAnsi="Times New Roman" w:eastAsia="仿宋_GB2312" w:cs="Times New Roman"/>
          <w:sz w:val="32"/>
          <w:szCs w:val="32"/>
          <w:highlight w:val="none"/>
          <w:u w:val="none"/>
        </w:rPr>
        <w:t>立足轻工业高端化、智能化、绿色化转型趋势，紧扣郊区“农工互补、内外联动”产业特质，</w:t>
      </w:r>
      <w:bookmarkEnd w:id="21"/>
      <w:r>
        <w:rPr>
          <w:rFonts w:hint="default" w:ascii="Times New Roman" w:hAnsi="Times New Roman" w:eastAsia="仿宋_GB2312" w:cs="Times New Roman"/>
          <w:sz w:val="32"/>
          <w:szCs w:val="32"/>
          <w:highlight w:val="none"/>
          <w:u w:val="none"/>
        </w:rPr>
        <w:t>以“强链补链、数字赋能、绿色转型、内外联动”为主线，重点推进软装家居、亚麻纺织两大优势产业价值链向高端攀升，打造区域特色产业集群。</w:t>
      </w:r>
    </w:p>
    <w:p w14:paraId="6137E96D">
      <w:pPr>
        <w:keepNext w:val="0"/>
        <w:keepLines w:val="0"/>
        <w:pageBreakBefore w:val="0"/>
        <w:widowControl w:val="0"/>
        <w:kinsoku/>
        <w:wordWrap/>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——软装家居。</w:t>
      </w:r>
      <w:r>
        <w:rPr>
          <w:rFonts w:hint="default" w:ascii="Times New Roman" w:hAnsi="Times New Roman" w:eastAsia="仿宋_GB2312" w:cs="Times New Roman"/>
          <w:sz w:val="32"/>
          <w:szCs w:val="32"/>
          <w:highlight w:val="none"/>
          <w:u w:val="none"/>
        </w:rPr>
        <w:t>聚焦“定制家具、智能家居、环保材料”三大主攻方向，强化“链主牵引、全链协同”发展模式，围绕产业链关键环节，重点招引高附加值板材制造、软体家具、精密五金配件等企业，推动链主企业与上游供应商签订长期合作协议，探索“链主+配套+服务”协同机制。支持链主企业牵头搭建产业公共服务平台，提供设计共享、检测认证、物流配送等一站式服务，降低中小企业协同成本。鼓励企业技改升级，推动传统工艺向数控设备、智能生产线转型，支持龙头企业建设智能工厂，实现从订单接收到成品交付的全流程数字化管控。引导企业加大研发投入，支持企业联合哈工大、东北林大等高校共建“智能家居研发中心”，加快智能睡眠、智能家具等产品研发，推动传统家具向“会感知、能交互”的智能终端升级，培育3个</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省级智能工厂（车间）。精准对接“银发经济”与“城市更新”双重机遇，针对深度老龄化社会需求，加大适老家具研发，支持企业在居家社区养老展区设立“适老化家居体验专区”，</w:t>
      </w:r>
      <w:r>
        <w:rPr>
          <w:rFonts w:hint="default" w:ascii="Times New Roman" w:hAnsi="Times New Roman" w:cs="Times New Roman"/>
          <w:highlight w:val="none"/>
          <w:u w:val="none"/>
        </w:rPr>
        <w:t xml:space="preserve"> </w:t>
      </w:r>
      <w:r>
        <w:rPr>
          <w:rFonts w:hint="default" w:ascii="Times New Roman" w:hAnsi="Times New Roman" w:eastAsia="仿宋_GB2312" w:cs="Times New Roman"/>
          <w:sz w:val="32"/>
          <w:szCs w:val="32"/>
          <w:highlight w:val="none"/>
          <w:u w:val="none"/>
        </w:rPr>
        <w:t>联合民政部门开展“适老化改造进社区”试点。抓住老旧小区改造、城中村改造政策红利，推出“旧居焕新”套餐，通过“以旧换新”补贴激活存量市场。联合电商平台开展“软装家居线上专场”直播带货活动，组织企业参与“佳木斯软装家居博览会”，通过“线上引流+线下体验”提升区域品牌影响力。开拓海外市场，依托“一带一路”倡议及黑龙江省对俄开放优势，重点布局中东、非洲、俄罗斯等新兴市场，支持企业参加国际家居展会，建立海外仓和本土化营销网络。推动绿色制造，降低生产能耗和碳排放，重点开发环保材料家居产品，抢占“双碳”市场先机。</w:t>
      </w:r>
    </w:p>
    <w:p w14:paraId="3902E944">
      <w:pPr>
        <w:keepNext w:val="0"/>
        <w:keepLines w:val="0"/>
        <w:pageBreakBefore w:val="0"/>
        <w:widowControl w:val="0"/>
        <w:kinsoku/>
        <w:wordWrap/>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——亚麻纺织。</w:t>
      </w:r>
      <w:r>
        <w:rPr>
          <w:rFonts w:hint="default" w:ascii="Times New Roman" w:hAnsi="Times New Roman" w:eastAsia="仿宋_GB2312" w:cs="Times New Roman"/>
          <w:sz w:val="32"/>
          <w:szCs w:val="32"/>
          <w:highlight w:val="none"/>
          <w:u w:val="none"/>
        </w:rPr>
        <w:t>培育壮大以亚麻为核心的纺织产业链条，依托郊区黑土地资源优势与亚麻种植传统，以</w:t>
      </w:r>
      <w:r>
        <w:rPr>
          <w:rFonts w:hint="eastAsia" w:ascii="Times New Roman" w:hAnsi="Times New Roman" w:eastAsia="仿宋_GB2312" w:cs="Times New Roman"/>
          <w:sz w:val="32"/>
          <w:szCs w:val="32"/>
          <w:highlight w:val="none"/>
          <w:u w:val="none"/>
          <w:lang w:val="en-US" w:eastAsia="zh-CN"/>
        </w:rPr>
        <w:t>相关</w:t>
      </w:r>
      <w:r>
        <w:rPr>
          <w:rFonts w:hint="default" w:ascii="Times New Roman" w:hAnsi="Times New Roman" w:eastAsia="仿宋_GB2312" w:cs="Times New Roman"/>
          <w:sz w:val="32"/>
          <w:szCs w:val="32"/>
          <w:highlight w:val="none"/>
          <w:u w:val="none"/>
        </w:rPr>
        <w:t>龙头企业为牵引，推动“种植</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加工</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品牌”全链条升级，构建“农纺融合+全链增值”的特色产业集群，打造东北亚亚麻纺织产业高地。大力推广“企业+合作社+农户”订单农业模式，在长发镇、四丰镇等乡镇建设标准化亚麻种植基地，重点推广“法国2代”</w:t>
      </w:r>
      <w:r>
        <w:rPr>
          <w:rFonts w:hint="default" w:ascii="Times New Roman" w:hAnsi="Times New Roman" w:cs="Times New Roman"/>
          <w:highlight w:val="none"/>
          <w:u w:val="none"/>
        </w:rPr>
        <w:t xml:space="preserve"> </w:t>
      </w:r>
      <w:r>
        <w:rPr>
          <w:rFonts w:hint="default" w:ascii="Times New Roman" w:hAnsi="Times New Roman" w:eastAsia="仿宋_GB2312" w:cs="Times New Roman"/>
          <w:sz w:val="32"/>
          <w:szCs w:val="32"/>
          <w:highlight w:val="none"/>
          <w:u w:val="none"/>
        </w:rPr>
        <w:t>等高产量、高纤维含量优质品种，配套建设灌溉、仓储等基础设施，确保原料稳定供应与品质可控。探索“种植补贴+价格保险”机制，降低农户种植风险，提升亚麻种植收益。支持企业引进高速纺纱机、宽幅织机等技术装备，重点开发高支数亚麻纱线（80支以上）、功能性亚麻面料（抗菌、防紫外线、远红外）及高端亚麻制品（家居装饰布、定制服装面料）；鼓励</w:t>
      </w:r>
      <w:r>
        <w:rPr>
          <w:rFonts w:hint="eastAsia" w:ascii="Times New Roman" w:hAnsi="Times New Roman" w:eastAsia="仿宋_GB2312" w:cs="Times New Roman"/>
          <w:sz w:val="32"/>
          <w:szCs w:val="32"/>
          <w:highlight w:val="none"/>
          <w:u w:val="none"/>
          <w:lang w:val="en-US" w:eastAsia="zh-CN"/>
        </w:rPr>
        <w:t>亚麻纺织</w:t>
      </w:r>
      <w:r>
        <w:rPr>
          <w:rFonts w:hint="default" w:ascii="Times New Roman" w:hAnsi="Times New Roman" w:eastAsia="仿宋_GB2312" w:cs="Times New Roman"/>
          <w:sz w:val="32"/>
          <w:szCs w:val="32"/>
          <w:highlight w:val="none"/>
          <w:u w:val="none"/>
        </w:rPr>
        <w:t>企业与波司登、水星家纺等品牌合作开发亚麻家居服、亚麻装饰布等新品，培育</w:t>
      </w:r>
      <w:r>
        <w:rPr>
          <w:rFonts w:hint="default" w:ascii="Times New Roman" w:hAnsi="Times New Roman" w:eastAsia="仿宋_GB2312" w:cs="Times New Roman"/>
          <w:sz w:val="32"/>
          <w:szCs w:val="32"/>
          <w:highlight w:val="none"/>
          <w:u w:val="none"/>
          <w:lang w:eastAsia="zh-CN"/>
        </w:rPr>
        <w:t>2个</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国内知名亚麻纺织品牌。深化校企合作，支持企业与大学大院大所（佳木斯大学、三江美院） 联合攻关亚麻纤维与其他材料（棉、竹纤维）混纺技术，开发兼具舒适性与功能性的复合面料，定向培养亚麻种植技术、纺织设计等专业人才。依托直播电商、跨境电商等新渠道，推出“亚麻文化生活馆”，线上重点推广亚麻家居用品、健康服饰等终端产品，线下融合工业旅游、非遗展示（亚麻编织技艺）等功能，推动“卖产品”向“卖文化”升级。</w:t>
      </w:r>
    </w:p>
    <w:p w14:paraId="1078283B">
      <w:pPr>
        <w:keepNext w:val="0"/>
        <w:keepLines w:val="0"/>
        <w:pageBreakBefore w:val="0"/>
        <w:widowControl w:val="0"/>
        <w:kinsoku/>
        <w:wordWrap/>
        <w:overflowPunct w:val="0"/>
        <w:topLinePunct w:val="0"/>
        <w:autoSpaceDE/>
        <w:autoSpaceDN/>
        <w:bidi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实施“智改数转网联”攻坚行动。</w:t>
      </w:r>
      <w:r>
        <w:rPr>
          <w:rFonts w:hint="default" w:ascii="Times New Roman" w:hAnsi="Times New Roman" w:eastAsia="仿宋_GB2312" w:cs="Times New Roman"/>
          <w:sz w:val="32"/>
          <w:szCs w:val="32"/>
          <w:highlight w:val="none"/>
          <w:u w:val="none"/>
        </w:rPr>
        <w:t>推进食品加工、装备制造、亚麻纺织等领域向智能化改造、数字化转型和网络化联接，推动制造业和中小企业数字化转型体系化规模化，加快高标准数字园区建设，组织实施一批重点项目、打造一批标杆企业。通过“上云用数赋智”实现上项目、扩规模、拓市场。助力企业丰富智能制造新场景，基于“工业互联网”开展智能化生产、网络化协调、个性化定制、服务化延伸、数字化管理。利用省市扶植资金，遴选5家标杆企业实施示范项目，突破智能分拣、柔性制造等关键技术，提升产业智能化水平，驱动产业链整体升级。开展新一轮大规模设备更新，支持现代农机、新能源装备等制造业企业加快淘汰落后低效设备，更新应用先进设备、绿色装备、智能装备。到2030年，全区新认定省级数字化车间或智能工厂5个</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，新增省级专精特新中小企业10家</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w:t>
      </w:r>
    </w:p>
    <w:p w14:paraId="3FBBBA68">
      <w:pPr>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br w:type="page"/>
      </w:r>
    </w:p>
    <w:tbl>
      <w:tblPr>
        <w:tblStyle w:val="30"/>
        <w:tblW w:w="87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7317"/>
      </w:tblGrid>
      <w:tr w14:paraId="1661F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87" w:type="dxa"/>
            <w:gridSpan w:val="2"/>
            <w:vAlign w:val="center"/>
          </w:tcPr>
          <w:p w14:paraId="1FEB066B">
            <w:pPr>
              <w:spacing w:line="320" w:lineRule="exact"/>
              <w:jc w:val="center"/>
              <w:rPr>
                <w:rFonts w:hint="default" w:ascii="Times New Roman" w:hAnsi="Times New Roman" w:eastAsia="宋体" w:cs="Times New Roman"/>
                <w:b/>
                <w:bCs/>
                <w:color w:val="000000"/>
                <w:sz w:val="24"/>
                <w:szCs w:val="24"/>
                <w:highlight w:val="none"/>
                <w:u w:val="none"/>
              </w:rPr>
            </w:pPr>
            <w:bookmarkStart w:id="22" w:name="_Hlk56288175"/>
            <w:r>
              <w:rPr>
                <w:rFonts w:hint="default" w:ascii="Times New Roman" w:hAnsi="Times New Roman" w:eastAsia="宋体" w:cs="Times New Roman"/>
                <w:b/>
                <w:bCs/>
                <w:color w:val="000000"/>
                <w:sz w:val="24"/>
                <w:szCs w:val="24"/>
                <w:highlight w:val="none"/>
                <w:u w:val="none"/>
              </w:rPr>
              <w:t>专栏2 传统优势产业重点建设项目</w:t>
            </w:r>
          </w:p>
        </w:tc>
      </w:tr>
      <w:tr w14:paraId="506D7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70" w:type="dxa"/>
            <w:vAlign w:val="center"/>
          </w:tcPr>
          <w:p w14:paraId="47C6AEB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317" w:type="dxa"/>
            <w:vAlign w:val="center"/>
          </w:tcPr>
          <w:p w14:paraId="2C2988AF">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08229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70" w:type="dxa"/>
            <w:vAlign w:val="center"/>
          </w:tcPr>
          <w:p w14:paraId="11BFF338">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农机装备</w:t>
            </w:r>
          </w:p>
        </w:tc>
        <w:tc>
          <w:tcPr>
            <w:tcW w:w="7317" w:type="dxa"/>
            <w:vAlign w:val="center"/>
          </w:tcPr>
          <w:p w14:paraId="691EB760">
            <w:pPr>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骥驰拖拉机智慧农机产业项目、农投为耕农机制造加工项目、中凯迪农机城市展厅项目、400马力无级变速拖拉机研发项目、大型农用喷药植保机制造项目、佳木斯市郊区气力式高速精量播种器及高速电驱式播种机关键零部件项目等。</w:t>
            </w:r>
          </w:p>
        </w:tc>
      </w:tr>
      <w:tr w14:paraId="72CF22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1470" w:type="dxa"/>
            <w:vAlign w:val="center"/>
          </w:tcPr>
          <w:p w14:paraId="32B5647C">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绿色食品</w:t>
            </w:r>
          </w:p>
        </w:tc>
        <w:tc>
          <w:tcPr>
            <w:tcW w:w="7317" w:type="dxa"/>
            <w:vAlign w:val="center"/>
          </w:tcPr>
          <w:p w14:paraId="18D21AD5">
            <w:pPr>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10万吨级食品精深加工基地、玉米淀粉精深加工项目、望江镇辣白菜标准化工厂项目、沿江镇鲜食玉米生产线项目、大健康食品产业园项目、佳木斯市郊区固体饮料生产加工项目、生猪屠宰和肉制品深加工项目、佳木斯市酒类加工代生产基地（北方嘉宾+汾酒集团）建设项目、利拓食品加工有限公司产业项目等。</w:t>
            </w:r>
          </w:p>
        </w:tc>
      </w:tr>
      <w:tr w14:paraId="7BBAC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470" w:type="dxa"/>
            <w:vAlign w:val="center"/>
          </w:tcPr>
          <w:p w14:paraId="0F6940B7">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轻工制造</w:t>
            </w:r>
          </w:p>
        </w:tc>
        <w:tc>
          <w:tcPr>
            <w:tcW w:w="7317" w:type="dxa"/>
            <w:vAlign w:val="center"/>
          </w:tcPr>
          <w:p w14:paraId="53E4631A">
            <w:pPr>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lang w:val="en-US" w:eastAsia="zh-CN"/>
              </w:rPr>
              <w:t>推进</w:t>
            </w:r>
            <w:r>
              <w:rPr>
                <w:rFonts w:hint="default" w:ascii="Times New Roman" w:hAnsi="Times New Roman" w:eastAsia="宋体" w:cs="Times New Roman"/>
                <w:color w:val="000000"/>
                <w:sz w:val="24"/>
                <w:szCs w:val="24"/>
                <w:highlight w:val="none"/>
                <w:u w:val="none"/>
              </w:rPr>
              <w:t>佳木斯伊佳纺织有限公司新增涡流纺生产线设备更新项目、佳木斯三和亚麻纺织有限责任公司亚麻纺纱生产线设备更新项目、佳木斯橡塑新材料智能工厂项目等。</w:t>
            </w:r>
          </w:p>
        </w:tc>
      </w:tr>
      <w:tr w14:paraId="07E86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470" w:type="dxa"/>
            <w:vAlign w:val="center"/>
          </w:tcPr>
          <w:p w14:paraId="475424A5">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其他</w:t>
            </w:r>
          </w:p>
        </w:tc>
        <w:tc>
          <w:tcPr>
            <w:tcW w:w="7317" w:type="dxa"/>
            <w:vAlign w:val="center"/>
          </w:tcPr>
          <w:p w14:paraId="020EABFB">
            <w:pPr>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实施年产5万吨钢结构生产加工项目、英克莱电动自行车组装及销售项目、佳木斯市郊区生物质收集设备加工项目等。</w:t>
            </w:r>
          </w:p>
        </w:tc>
      </w:tr>
      <w:bookmarkEnd w:id="22"/>
    </w:tbl>
    <w:p w14:paraId="7AD41AC8">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23" w:name="_Toc216985857"/>
      <w:r>
        <w:rPr>
          <w:rFonts w:hint="default" w:ascii="Times New Roman" w:hAnsi="Times New Roman" w:eastAsia="黑体" w:cs="Times New Roman"/>
          <w:b w:val="0"/>
          <w:bCs w:val="0"/>
          <w:highlight w:val="none"/>
          <w:u w:val="none"/>
          <w:lang w:val="zh-CN"/>
        </w:rPr>
        <w:t>二、培育发展壮大新兴产业</w:t>
      </w:r>
      <w:bookmarkEnd w:id="23"/>
    </w:p>
    <w:p w14:paraId="32BFF9AA">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生物育种。</w:t>
      </w:r>
      <w:r>
        <w:rPr>
          <w:rFonts w:hint="default" w:ascii="Times New Roman" w:hAnsi="Times New Roman" w:eastAsia="仿宋_GB2312" w:cs="Times New Roman"/>
          <w:sz w:val="32"/>
          <w:szCs w:val="32"/>
          <w:highlight w:val="none"/>
          <w:u w:val="none"/>
        </w:rPr>
        <w:t>聚焦种业振兴，突出发展育种制种产业链。实施种业基地提升行动，加速制种大县项目和水稻良种繁育示范带建设，大力推进种子繁育基地建设，加快哈肇路、京</w:t>
      </w:r>
      <w:r>
        <w:rPr>
          <w:rFonts w:hint="default" w:ascii="Times New Roman" w:hAnsi="Times New Roman" w:eastAsia="仿宋_GB2312" w:cs="Times New Roman"/>
          <w:sz w:val="32"/>
          <w:szCs w:val="32"/>
          <w:highlight w:val="none"/>
          <w:u w:val="none"/>
          <w:lang w:val="en-US" w:eastAsia="zh-CN"/>
        </w:rPr>
        <w:t>抚</w:t>
      </w:r>
      <w:r>
        <w:rPr>
          <w:rFonts w:hint="default" w:ascii="Times New Roman" w:hAnsi="Times New Roman" w:eastAsia="仿宋_GB2312" w:cs="Times New Roman"/>
          <w:sz w:val="32"/>
          <w:szCs w:val="32"/>
          <w:highlight w:val="none"/>
          <w:u w:val="none"/>
        </w:rPr>
        <w:t>路两侧高标准水稻良种繁育基地建设。配套建设田间智能管理及数据采集等农业信息化设施，提升繁制种环节数据支撑能力。打造寒地水稻产业园，建设数字育种成果展示中心，为水稻育种科研攻关奠定基础。实施产品市场拓展行动，提升种子加工能力，力争全区年加工能力突破20万吨。拓展国内营销网络，增加种子经销网点，实现全国布局超300家。以莲江口农场种业特色小镇为依托，积极打造我省东部地区最大的种子销售集散地。积极参加中俄博览会及国际种业博览会等平台，引进国际先进种业技术与管理经验，增强研发能力和国际竞争力。实施战略合作联盟行动，由区内大型种业集团牵头，联合区内企业组建郊区种业联盟，实现资源共享、优势互补，提升产业凝聚力。到2030年，力争申报国家级种业龙头企业1个</w:t>
      </w:r>
      <w:r>
        <w:rPr>
          <w:rFonts w:hint="default"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，制种面积达到18万亩，优良品种覆盖率达到100%。</w:t>
      </w:r>
    </w:p>
    <w:p w14:paraId="476DFA01">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bookmarkStart w:id="24" w:name="OLE_LINK16"/>
      <w:r>
        <w:rPr>
          <w:rFonts w:hint="default" w:ascii="Times New Roman" w:hAnsi="Times New Roman" w:eastAsia="仿宋_GB2312" w:cs="Times New Roman"/>
          <w:b/>
          <w:sz w:val="32"/>
          <w:szCs w:val="32"/>
          <w:highlight w:val="none"/>
          <w:u w:val="none"/>
        </w:rPr>
        <w:t>卫星技术应用</w:t>
      </w:r>
      <w:bookmarkEnd w:id="24"/>
      <w:r>
        <w:rPr>
          <w:rFonts w:hint="default" w:ascii="Times New Roman" w:hAnsi="Times New Roman" w:eastAsia="仿宋_GB2312" w:cs="Times New Roman"/>
          <w:b/>
          <w:sz w:val="32"/>
          <w:szCs w:val="32"/>
          <w:highlight w:val="none"/>
          <w:u w:val="none"/>
        </w:rPr>
        <w:t>。</w:t>
      </w:r>
      <w:r>
        <w:rPr>
          <w:rFonts w:hint="default" w:ascii="Times New Roman" w:hAnsi="Times New Roman" w:eastAsia="仿宋_GB2312" w:cs="Times New Roman"/>
          <w:bCs/>
          <w:sz w:val="32"/>
          <w:szCs w:val="32"/>
          <w:highlight w:val="none"/>
          <w:u w:val="none"/>
        </w:rPr>
        <w:t>立足卫星产业赋能先导区核心</w:t>
      </w:r>
      <w:r>
        <w:rPr>
          <w:rFonts w:hint="default" w:ascii="Times New Roman" w:hAnsi="Times New Roman" w:eastAsia="仿宋_GB2312" w:cs="Times New Roman"/>
          <w:sz w:val="32"/>
          <w:szCs w:val="32"/>
          <w:highlight w:val="none"/>
          <w:u w:val="none"/>
        </w:rPr>
        <w:t>定位，聚焦卫星遥感数据应用与智能终端研发两大方向，强化对俄开放合作带、区域协同带节点支撑作用，强化区域协同与国际合作，构建“技术研发</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产品制造</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场景验证”全链条发展体系。</w:t>
      </w:r>
      <w:r>
        <w:rPr>
          <w:rFonts w:hint="eastAsia" w:ascii="Times New Roman" w:hAnsi="Times New Roman" w:eastAsia="仿宋_GB2312" w:cs="Times New Roman"/>
          <w:sz w:val="32"/>
          <w:szCs w:val="32"/>
          <w:highlight w:val="none"/>
          <w:u w:val="none"/>
          <w:lang w:val="en-US" w:eastAsia="zh-CN"/>
        </w:rPr>
        <w:t>加快</w:t>
      </w:r>
      <w:r>
        <w:rPr>
          <w:rFonts w:hint="default" w:ascii="Times New Roman" w:hAnsi="Times New Roman" w:eastAsia="仿宋_GB2312" w:cs="Times New Roman"/>
          <w:sz w:val="32"/>
          <w:szCs w:val="32"/>
          <w:highlight w:val="none"/>
          <w:u w:val="none"/>
        </w:rPr>
        <w:t>建设“航天+农业”卫星数据中心，夯实产业发展根基。拓展卫星技术融合示范场景，研发融合北斗定位与卫星通信的智能巡边装备，开展边境监管设备联合测试。赋能农机企业智能化升级，支持</w:t>
      </w:r>
      <w:r>
        <w:rPr>
          <w:rFonts w:hint="eastAsia" w:ascii="Times New Roman" w:hAnsi="Times New Roman" w:eastAsia="仿宋_GB2312" w:cs="Times New Roman"/>
          <w:sz w:val="32"/>
          <w:szCs w:val="32"/>
          <w:highlight w:val="none"/>
          <w:u w:val="none"/>
          <w:lang w:val="en-US" w:eastAsia="zh-CN"/>
        </w:rPr>
        <w:t>农机企业</w:t>
      </w:r>
      <w:r>
        <w:rPr>
          <w:rFonts w:hint="default" w:ascii="Times New Roman" w:hAnsi="Times New Roman" w:eastAsia="仿宋_GB2312" w:cs="Times New Roman"/>
          <w:sz w:val="32"/>
          <w:szCs w:val="32"/>
          <w:highlight w:val="none"/>
          <w:u w:val="none"/>
        </w:rPr>
        <w:t>在敖其镇建设试验田，推进与哈工程合作的水田智能拖拉机产业化项目；推动与哈理工等高校合作开发电驱动无级变速混合动力拖拉机，构建基于北斗的智能农机应用场景。到2030年，培育卫星应用示范项目5个</w:t>
      </w:r>
      <w:r>
        <w:rPr>
          <w:rFonts w:hint="default"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，全面建成东北卫星智能终端制造高地与技术转化核心区。</w:t>
      </w:r>
    </w:p>
    <w:p w14:paraId="611CC709">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数字经济。</w:t>
      </w:r>
      <w:r>
        <w:rPr>
          <w:rFonts w:hint="default" w:ascii="Times New Roman" w:hAnsi="Times New Roman" w:eastAsia="仿宋_GB2312" w:cs="Times New Roman"/>
          <w:sz w:val="32"/>
          <w:szCs w:val="32"/>
          <w:highlight w:val="none"/>
          <w:u w:val="none"/>
        </w:rPr>
        <w:t>以</w:t>
      </w:r>
      <w:r>
        <w:rPr>
          <w:rFonts w:hint="default" w:ascii="Times New Roman" w:hAnsi="Times New Roman" w:eastAsia="仿宋_GB2312" w:cs="Times New Roman"/>
          <w:sz w:val="32"/>
          <w:szCs w:val="32"/>
          <w:highlight w:val="none"/>
          <w:u w:val="none"/>
          <w:lang w:eastAsia="zh-CN"/>
        </w:rPr>
        <w:t>江北园区</w:t>
      </w:r>
      <w:r>
        <w:rPr>
          <w:rFonts w:hint="default" w:ascii="Times New Roman" w:hAnsi="Times New Roman" w:eastAsia="仿宋_GB2312" w:cs="Times New Roman"/>
          <w:sz w:val="32"/>
          <w:szCs w:val="32"/>
          <w:highlight w:val="none"/>
          <w:u w:val="none"/>
        </w:rPr>
        <w:t>、佳木斯市高新区、电子商务产业园、佳木斯数字创意产业园等为核心载体，培育数字经济核心产业集群，聚焦农业数字化、文旅智慧化、政务信息化三大主攻方向，构建“卫星技术+大数据+智能装备”融合创新体系，打造具有郊区特色的“数字技术应用+特色产业赋能”示范区。重点推进360佳木斯数字城市安全大脑项目、省级网络安全技术应用示范点创建、黑龙江省数据安全创新中心建设三项核心任务，系统推进佳木斯郊区数字经济深化转型。搭建城市数字反诈基础设施集群，全面提升新型网络犯罪“打、防、管、控、宣、培”全生命周期防范治理工作。到2030年，数字经济实现跨越式发展，数字经济核心产业增加值占GDP比重超过15%。</w:t>
      </w:r>
    </w:p>
    <w:tbl>
      <w:tblPr>
        <w:tblStyle w:val="30"/>
        <w:tblW w:w="86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6901"/>
      </w:tblGrid>
      <w:tr w14:paraId="067659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617" w:type="dxa"/>
            <w:gridSpan w:val="2"/>
            <w:vAlign w:val="center"/>
          </w:tcPr>
          <w:p w14:paraId="280C99D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专栏3 数字经济重点应用工程</w:t>
            </w:r>
          </w:p>
        </w:tc>
      </w:tr>
      <w:tr w14:paraId="5F3BC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716" w:type="dxa"/>
            <w:vAlign w:val="center"/>
          </w:tcPr>
          <w:p w14:paraId="0567486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6901" w:type="dxa"/>
            <w:vAlign w:val="center"/>
          </w:tcPr>
          <w:p w14:paraId="66517D2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04891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5" w:hRule="atLeast"/>
          <w:jc w:val="center"/>
        </w:trPr>
        <w:tc>
          <w:tcPr>
            <w:tcW w:w="1716" w:type="dxa"/>
            <w:vAlign w:val="center"/>
          </w:tcPr>
          <w:p w14:paraId="145DF850">
            <w:pPr>
              <w:spacing w:line="320" w:lineRule="exact"/>
              <w:jc w:val="left"/>
              <w:rPr>
                <w:rFonts w:hint="default" w:ascii="Times New Roman" w:hAnsi="Times New Roman" w:eastAsia="宋体" w:cs="Times New Roman"/>
                <w:b/>
                <w:bCs/>
                <w:color w:val="000000"/>
                <w:sz w:val="24"/>
                <w:szCs w:val="28"/>
                <w:highlight w:val="none"/>
                <w:u w:val="none"/>
              </w:rPr>
            </w:pPr>
            <w:r>
              <w:rPr>
                <w:rFonts w:hint="default" w:ascii="Times New Roman" w:hAnsi="Times New Roman" w:eastAsia="宋体" w:cs="Times New Roman"/>
                <w:b/>
                <w:bCs/>
                <w:color w:val="000000"/>
                <w:sz w:val="24"/>
                <w:szCs w:val="28"/>
                <w:highlight w:val="none"/>
                <w:u w:val="none"/>
              </w:rPr>
              <w:t>以航天技术赋能农业数字化</w:t>
            </w:r>
          </w:p>
        </w:tc>
        <w:tc>
          <w:tcPr>
            <w:tcW w:w="6901" w:type="dxa"/>
            <w:vAlign w:val="center"/>
          </w:tcPr>
          <w:p w14:paraId="740BD220">
            <w:pPr>
              <w:spacing w:line="320" w:lineRule="exact"/>
              <w:jc w:val="left"/>
              <w:rPr>
                <w:rFonts w:hint="default" w:ascii="Times New Roman" w:hAnsi="Times New Roman" w:eastAsia="宋体" w:cs="Times New Roman"/>
                <w:color w:val="000000"/>
                <w:sz w:val="24"/>
                <w:szCs w:val="28"/>
                <w:highlight w:val="none"/>
                <w:u w:val="none"/>
              </w:rPr>
            </w:pPr>
            <w:r>
              <w:rPr>
                <w:rFonts w:hint="eastAsia" w:ascii="Times New Roman" w:hAnsi="Times New Roman" w:eastAsia="宋体" w:cs="Times New Roman"/>
                <w:color w:val="000000"/>
                <w:sz w:val="24"/>
                <w:szCs w:val="28"/>
                <w:highlight w:val="none"/>
                <w:u w:val="none"/>
                <w:lang w:val="en-US" w:eastAsia="zh-CN"/>
              </w:rPr>
              <w:t>推进</w:t>
            </w:r>
            <w:r>
              <w:rPr>
                <w:rFonts w:hint="default" w:ascii="Times New Roman" w:hAnsi="Times New Roman" w:eastAsia="宋体" w:cs="Times New Roman"/>
                <w:color w:val="000000"/>
                <w:sz w:val="24"/>
                <w:szCs w:val="28"/>
                <w:highlight w:val="none"/>
                <w:u w:val="none"/>
              </w:rPr>
              <w:t>建设“航天+农业”大数据中心，引进卫星遥感、云计算、农业AI算法等核心技术，构建覆盖全域的农业资源监测网络，实现农作物长势监测、病虫害预警、土壤墒情分析等精细化服务。加速推进骥驰—北斗水旱两用智能拖拉机项目建设，集成北斗高精度导航、自动驾驶、智能作业控制等技术，打造“智能农机+卫星通信”示范应用场景，推动传统农机向智能化、网联化升级。开发农业卫星数据应用平台，推动卫星技术在农业保险定损、农产品产量预估、农村环境监测等领域的商业化应用，培育“数据+服务”新模式。</w:t>
            </w:r>
          </w:p>
        </w:tc>
      </w:tr>
      <w:tr w14:paraId="0EDB1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8" w:hRule="atLeast"/>
          <w:jc w:val="center"/>
        </w:trPr>
        <w:tc>
          <w:tcPr>
            <w:tcW w:w="1716" w:type="dxa"/>
            <w:vAlign w:val="center"/>
          </w:tcPr>
          <w:p w14:paraId="1A4DD562">
            <w:pPr>
              <w:spacing w:line="320" w:lineRule="exact"/>
              <w:jc w:val="left"/>
              <w:rPr>
                <w:rFonts w:hint="default" w:ascii="Times New Roman" w:hAnsi="Times New Roman" w:eastAsia="宋体" w:cs="Times New Roman"/>
                <w:b/>
                <w:bCs/>
                <w:color w:val="000000"/>
                <w:sz w:val="24"/>
                <w:szCs w:val="28"/>
                <w:highlight w:val="none"/>
                <w:u w:val="none"/>
              </w:rPr>
            </w:pPr>
            <w:r>
              <w:rPr>
                <w:rFonts w:hint="default" w:ascii="Times New Roman" w:hAnsi="Times New Roman" w:eastAsia="宋体" w:cs="Times New Roman"/>
                <w:b/>
                <w:bCs/>
                <w:color w:val="000000"/>
                <w:sz w:val="24"/>
                <w:szCs w:val="28"/>
                <w:highlight w:val="none"/>
                <w:u w:val="none"/>
              </w:rPr>
              <w:t>智慧文旅与乡村治理数字化</w:t>
            </w:r>
          </w:p>
        </w:tc>
        <w:tc>
          <w:tcPr>
            <w:tcW w:w="6901" w:type="dxa"/>
            <w:vAlign w:val="center"/>
          </w:tcPr>
          <w:p w14:paraId="36FFCFFE">
            <w:pPr>
              <w:spacing w:line="320" w:lineRule="exact"/>
              <w:jc w:val="left"/>
              <w:rPr>
                <w:rFonts w:hint="default" w:ascii="Times New Roman" w:hAnsi="Times New Roman" w:eastAsia="宋体" w:cs="Times New Roman"/>
                <w:color w:val="000000"/>
                <w:sz w:val="24"/>
                <w:szCs w:val="28"/>
                <w:highlight w:val="none"/>
                <w:u w:val="none"/>
              </w:rPr>
            </w:pPr>
            <w:r>
              <w:rPr>
                <w:rFonts w:hint="default" w:ascii="Times New Roman" w:hAnsi="Times New Roman" w:eastAsia="宋体" w:cs="Times New Roman"/>
                <w:color w:val="000000"/>
                <w:sz w:val="24"/>
                <w:szCs w:val="28"/>
                <w:highlight w:val="none"/>
                <w:u w:val="none"/>
              </w:rPr>
              <w:t>打造“VR/AR+乡村旅游”沉浸式体验项目，开发虚拟农场、数字非遗工坊等文旅产品，建设村级智慧旅游服务平台，实现“一部手机游郊区”。建设村级数字化综合治理平台，整合政务公开、便民服务、远程医疗、在线教育等功能模块，推动“互联网+政务服务”向农村延伸，实现“数据多跑路、村民少跑腿”。推广智慧农场管理系统、农产品区块链溯源平台等应用，建立从田间到餐桌的全流程数字化管理链条，提升农业产业链透明度和附加值。</w:t>
            </w:r>
          </w:p>
        </w:tc>
      </w:tr>
      <w:tr w14:paraId="4F9C9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716" w:type="dxa"/>
            <w:vAlign w:val="center"/>
          </w:tcPr>
          <w:p w14:paraId="7D048ACA">
            <w:pPr>
              <w:spacing w:line="320" w:lineRule="exact"/>
              <w:jc w:val="center"/>
              <w:rPr>
                <w:rFonts w:hint="default" w:ascii="Times New Roman" w:hAnsi="Times New Roman" w:eastAsia="宋体" w:cs="Times New Roman"/>
                <w:b/>
                <w:bCs/>
                <w:color w:val="000000"/>
                <w:sz w:val="24"/>
                <w:szCs w:val="28"/>
                <w:highlight w:val="none"/>
                <w:u w:val="none"/>
              </w:rPr>
            </w:pPr>
            <w:r>
              <w:rPr>
                <w:rFonts w:hint="default" w:ascii="Times New Roman" w:hAnsi="Times New Roman" w:eastAsia="宋体" w:cs="Times New Roman"/>
                <w:b/>
                <w:bCs/>
                <w:color w:val="000000"/>
                <w:sz w:val="24"/>
                <w:szCs w:val="24"/>
                <w:highlight w:val="none"/>
                <w:u w:val="none"/>
              </w:rPr>
              <w:t>领域</w:t>
            </w:r>
          </w:p>
        </w:tc>
        <w:tc>
          <w:tcPr>
            <w:tcW w:w="6901" w:type="dxa"/>
            <w:vAlign w:val="center"/>
          </w:tcPr>
          <w:p w14:paraId="65929118">
            <w:pPr>
              <w:spacing w:line="320" w:lineRule="exact"/>
              <w:jc w:val="center"/>
              <w:rPr>
                <w:rFonts w:hint="default" w:ascii="Times New Roman" w:hAnsi="Times New Roman" w:eastAsia="宋体" w:cs="Times New Roman"/>
                <w:color w:val="000000"/>
                <w:sz w:val="24"/>
                <w:szCs w:val="28"/>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796D32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0" w:hRule="atLeast"/>
          <w:jc w:val="center"/>
        </w:trPr>
        <w:tc>
          <w:tcPr>
            <w:tcW w:w="1716" w:type="dxa"/>
            <w:vAlign w:val="center"/>
          </w:tcPr>
          <w:p w14:paraId="05100932">
            <w:pPr>
              <w:spacing w:line="320" w:lineRule="exact"/>
              <w:jc w:val="left"/>
              <w:rPr>
                <w:rFonts w:hint="default" w:ascii="Times New Roman" w:hAnsi="Times New Roman" w:eastAsia="宋体" w:cs="Times New Roman"/>
                <w:b/>
                <w:bCs/>
                <w:color w:val="000000"/>
                <w:sz w:val="24"/>
                <w:szCs w:val="28"/>
                <w:highlight w:val="none"/>
                <w:u w:val="none"/>
              </w:rPr>
            </w:pPr>
            <w:r>
              <w:rPr>
                <w:rFonts w:hint="default" w:ascii="Times New Roman" w:hAnsi="Times New Roman" w:eastAsia="宋体" w:cs="Times New Roman"/>
                <w:b/>
                <w:bCs/>
                <w:color w:val="000000"/>
                <w:sz w:val="24"/>
                <w:szCs w:val="28"/>
                <w:highlight w:val="none"/>
                <w:u w:val="none"/>
              </w:rPr>
              <w:t>实施数字基础设施强基工程</w:t>
            </w:r>
          </w:p>
        </w:tc>
        <w:tc>
          <w:tcPr>
            <w:tcW w:w="6901" w:type="dxa"/>
            <w:vAlign w:val="center"/>
          </w:tcPr>
          <w:p w14:paraId="6709D69C">
            <w:pPr>
              <w:spacing w:line="320" w:lineRule="exact"/>
              <w:jc w:val="left"/>
              <w:rPr>
                <w:rFonts w:hint="default" w:ascii="Times New Roman" w:hAnsi="Times New Roman" w:eastAsia="宋体" w:cs="Times New Roman"/>
                <w:color w:val="000000"/>
                <w:sz w:val="24"/>
                <w:szCs w:val="28"/>
                <w:highlight w:val="none"/>
                <w:u w:val="none"/>
              </w:rPr>
            </w:pPr>
            <w:r>
              <w:rPr>
                <w:rFonts w:hint="default" w:ascii="Times New Roman" w:hAnsi="Times New Roman" w:eastAsia="宋体" w:cs="Times New Roman"/>
                <w:color w:val="000000"/>
                <w:sz w:val="24"/>
                <w:szCs w:val="28"/>
                <w:highlight w:val="none"/>
                <w:u w:val="none"/>
              </w:rPr>
              <w:t>实施农村数字基建提升行动，加快5G网络、光纤宽带、物联网感知设备全覆盖，重点建设农业物联网基站、乡村5G微基站，构建“低时延、高可靠”的数字传输网络。建设区级数字技术应用创新中心，搭建农业大数据实验室、卫星技术验证平台等共性技术支撑平台，为中小企业提供算力、算法、数据一体化服务。推动传统基础设施数字化改造，在农田水利、冷链物流、农村能源等领域部署智能传感器、边缘计算设备，构建全域感知、智能决策的数字基础设施体系；重点实施大数据处理中心项目、郊区算力中心构建项目。</w:t>
            </w:r>
          </w:p>
        </w:tc>
      </w:tr>
    </w:tbl>
    <w:p w14:paraId="6D3EB9A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Cs/>
          <w:sz w:val="32"/>
          <w:szCs w:val="32"/>
          <w:highlight w:val="none"/>
          <w:u w:val="none"/>
        </w:rPr>
      </w:pPr>
      <w:r>
        <w:rPr>
          <w:rFonts w:hint="default" w:ascii="Times New Roman" w:hAnsi="Times New Roman" w:eastAsia="仿宋_GB2312" w:cs="Times New Roman"/>
          <w:b/>
          <w:sz w:val="32"/>
          <w:szCs w:val="32"/>
          <w:highlight w:val="none"/>
          <w:u w:val="none"/>
        </w:rPr>
        <w:t>新能源。</w:t>
      </w:r>
      <w:bookmarkStart w:id="25" w:name="OLE_LINK8"/>
      <w:bookmarkStart w:id="26" w:name="OLE_LINK9"/>
      <w:r>
        <w:rPr>
          <w:rFonts w:hint="default" w:ascii="Times New Roman" w:hAnsi="Times New Roman" w:eastAsia="仿宋_GB2312" w:cs="Times New Roman"/>
          <w:bCs/>
          <w:sz w:val="32"/>
          <w:szCs w:val="32"/>
          <w:highlight w:val="none"/>
          <w:u w:val="none"/>
        </w:rPr>
        <w:t>抢抓新能源产业发展的政策机遇和市场机遇，积极融入全省新能源产业布局，以风能、太阳能、水电、储能、生物质能为重点，打造高质量、高效益、低消耗、低污染的新型能源产业。加快国电（猴石）风电场设备更新项目、郊区200兆瓦风电效能建设，稳步推进康家围子航电枢纽项目前期工作。谋划利用农户闲置屋顶、产业园区等建设分布式太阳能光伏电站，重点推进物流港二期分布式光伏发电项目。积极发展储能，加快推进康顺源网侧电化学独立储能电站、群林电网侧独立储能项目。稳步开发生物质发电项目，探索利用农村秸秆固化、生物质成型燃料及稻壳，开展纤维素燃料乙醇、生物柴油等炼制产业化示范。</w:t>
      </w:r>
      <w:bookmarkStart w:id="27" w:name="_Hlk207613019"/>
      <w:r>
        <w:rPr>
          <w:rFonts w:hint="default" w:ascii="Times New Roman" w:hAnsi="Times New Roman" w:eastAsia="仿宋_GB2312" w:cs="Times New Roman"/>
          <w:bCs/>
          <w:sz w:val="32"/>
          <w:szCs w:val="32"/>
          <w:highlight w:val="none"/>
          <w:u w:val="none"/>
        </w:rPr>
        <w:t>鼓励以新能源互补联动模式提高能源使用效率，积极谋划源网荷储一体化、电力多能互补示范项目，打造“风光水火储”多能互补基地。</w:t>
      </w:r>
      <w:r>
        <w:rPr>
          <w:rFonts w:hint="default" w:ascii="Times New Roman" w:hAnsi="Times New Roman" w:eastAsia="仿宋_GB2312" w:cs="Times New Roman"/>
          <w:sz w:val="32"/>
          <w:szCs w:val="32"/>
          <w:highlight w:val="none"/>
          <w:u w:val="none"/>
        </w:rPr>
        <w:t>到2030年，全区新能源装机总规模争取达到200兆瓦，新能源产业产值力争实现1.5亿元。</w:t>
      </w:r>
    </w:p>
    <w:bookmarkEnd w:id="25"/>
    <w:bookmarkEnd w:id="26"/>
    <w:bookmarkEnd w:id="27"/>
    <w:p w14:paraId="1A64C6D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低空经济。</w:t>
      </w:r>
      <w:r>
        <w:rPr>
          <w:rFonts w:hint="default" w:ascii="Times New Roman" w:hAnsi="Times New Roman" w:eastAsia="仿宋_GB2312" w:cs="Times New Roman"/>
          <w:sz w:val="32"/>
          <w:szCs w:val="32"/>
          <w:highlight w:val="none"/>
          <w:u w:val="none"/>
        </w:rPr>
        <w:t>以通用航空装备、无人机系统为重点领域，深化与</w:t>
      </w:r>
      <w:r>
        <w:rPr>
          <w:rFonts w:hint="eastAsia" w:ascii="Times New Roman" w:hAnsi="Times New Roman" w:eastAsia="仿宋_GB2312" w:cs="Times New Roman"/>
          <w:sz w:val="32"/>
          <w:szCs w:val="32"/>
          <w:highlight w:val="none"/>
          <w:u w:val="none"/>
          <w:lang w:val="en-US" w:eastAsia="zh-CN"/>
        </w:rPr>
        <w:t>外地</w:t>
      </w:r>
      <w:r>
        <w:rPr>
          <w:rFonts w:hint="default" w:ascii="Times New Roman" w:hAnsi="Times New Roman" w:eastAsia="仿宋_GB2312" w:cs="Times New Roman"/>
          <w:sz w:val="32"/>
          <w:szCs w:val="32"/>
          <w:highlight w:val="none"/>
          <w:u w:val="none"/>
        </w:rPr>
        <w:t>无人机项目合作，重点发展垂直起降飞行器（eVTOL）、工业级无人机等产品，谋划大飞机关键材料、核心零部件等招商项目；推进低空经济产业园建设，配套布局起降平台、充电桩等基础设施，全面构建“研发</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制造</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应用”全链条产业生态，全力壮大低空经济产业链</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拓</w:t>
      </w:r>
      <w:r>
        <w:rPr>
          <w:rFonts w:hint="default" w:ascii="Times New Roman" w:hAnsi="Times New Roman" w:eastAsia="仿宋_GB2312" w:cs="Times New Roman"/>
          <w:sz w:val="32"/>
          <w:szCs w:val="32"/>
          <w:highlight w:val="none"/>
          <w:u w:val="none"/>
        </w:rPr>
        <w:t>宽产业发展领域。</w:t>
      </w:r>
    </w:p>
    <w:p w14:paraId="272CB5C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新材料。</w:t>
      </w:r>
      <w:r>
        <w:rPr>
          <w:rFonts w:hint="default" w:ascii="Times New Roman" w:hAnsi="Times New Roman" w:eastAsia="仿宋_GB2312" w:cs="Times New Roman"/>
          <w:sz w:val="32"/>
          <w:szCs w:val="32"/>
          <w:highlight w:val="none"/>
          <w:u w:val="none"/>
        </w:rPr>
        <w:t>重点发展石墨及精深加工、金属及非金属关键基础材料、化工新材料三大领域，重点突破石墨烯导热材料、高性能碳纤维复合材料、高端铝合金材料等前沿方向。通过建设</w:t>
      </w:r>
      <w:bookmarkStart w:id="28" w:name="OLE_LINK3"/>
      <w:bookmarkStart w:id="29" w:name="OLE_LINK6"/>
      <w:r>
        <w:rPr>
          <w:rFonts w:hint="default" w:ascii="Times New Roman" w:hAnsi="Times New Roman" w:eastAsia="仿宋_GB2312" w:cs="Times New Roman"/>
          <w:sz w:val="32"/>
          <w:szCs w:val="32"/>
          <w:highlight w:val="none"/>
          <w:u w:val="none"/>
        </w:rPr>
        <w:t>石墨烯制备与应用研发中心、碳纤维复合材料生产基地、高端铝合金加工产业园</w:t>
      </w:r>
      <w:bookmarkEnd w:id="28"/>
      <w:bookmarkEnd w:id="29"/>
      <w:r>
        <w:rPr>
          <w:rFonts w:hint="default" w:ascii="Times New Roman" w:hAnsi="Times New Roman" w:eastAsia="仿宋_GB2312" w:cs="Times New Roman"/>
          <w:sz w:val="32"/>
          <w:szCs w:val="32"/>
          <w:highlight w:val="none"/>
          <w:u w:val="none"/>
        </w:rPr>
        <w:t>等重点项目，打造完整的新材料产业链。推进新材料测试评价平台建设、产学研协同创新中心组建、高端人才引进培养等重点工程，构建“基础研究</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技术开发</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产业应用”全链条创新体系，打造具有一定竞争力的新材料产业集群。到2030年，力争新材料产业规模突破亿元。</w:t>
      </w:r>
    </w:p>
    <w:p w14:paraId="7945F89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生物制造。</w:t>
      </w:r>
      <w:r>
        <w:rPr>
          <w:rFonts w:hint="default" w:ascii="Times New Roman" w:hAnsi="Times New Roman" w:eastAsia="仿宋_GB2312" w:cs="Times New Roman"/>
          <w:sz w:val="32"/>
          <w:szCs w:val="32"/>
          <w:highlight w:val="none"/>
          <w:u w:val="none"/>
        </w:rPr>
        <w:t>聚焦现代中药、生物药及合成生物技术三大方向，依托本地中药材种植资源优势，发展现代中药产业。推动生物技术药创新发展，重点突破抗体、重组蛋白、基因及细胞治疗等生物药领域，建设生物药CDMO平台。结合寒地特色，推进合成生物技术在中药材培育中的应用。拓展非粮生物基材料赛道，重点发展微生物基食品加工技术、秸秆转化生物基材料，以及合成生物学赋能的寒地中药材培育技术，构建“药材种植—生物制造—终端产品”全产业链体系。</w:t>
      </w:r>
      <w:r>
        <w:rPr>
          <w:rFonts w:hint="default" w:ascii="Times New Roman" w:hAnsi="Times New Roman" w:eastAsia="仿宋_GB2312" w:cs="Times New Roman"/>
          <w:sz w:val="32"/>
          <w:szCs w:val="32"/>
          <w:highlight w:val="none"/>
          <w:u w:val="none"/>
          <w:lang w:val="en-US" w:eastAsia="zh-CN"/>
        </w:rPr>
        <w:t>围绕</w:t>
      </w:r>
      <w:r>
        <w:rPr>
          <w:rFonts w:hint="default" w:ascii="Times New Roman" w:hAnsi="Times New Roman" w:eastAsia="仿宋_GB2312" w:cs="Times New Roman"/>
          <w:kern w:val="2"/>
          <w:sz w:val="32"/>
          <w:szCs w:val="32"/>
          <w:highlight w:val="none"/>
          <w:u w:val="none"/>
          <w:lang w:val="en-US" w:eastAsia="zh-CN" w:bidi="ar-SA"/>
        </w:rPr>
        <w:t>建设一流生物产业集群，加快构建形成全产业链的生物医药研发平台体系。</w:t>
      </w:r>
      <w:r>
        <w:rPr>
          <w:rFonts w:hint="default" w:ascii="Times New Roman" w:hAnsi="Times New Roman" w:eastAsia="仿宋_GB2312" w:cs="Times New Roman"/>
          <w:sz w:val="32"/>
          <w:szCs w:val="32"/>
          <w:highlight w:val="none"/>
          <w:u w:val="none"/>
        </w:rPr>
        <w:t>发挥农业资源优势，发展以生物质为原料的生物基材料、生物尼龙等产品，推动农业废弃物高值化利用。</w:t>
      </w:r>
    </w:p>
    <w:tbl>
      <w:tblPr>
        <w:tblStyle w:val="30"/>
        <w:tblW w:w="858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39"/>
        <w:gridCol w:w="7341"/>
      </w:tblGrid>
      <w:tr w14:paraId="4D5B22A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10" w:hRule="atLeast"/>
          <w:jc w:val="center"/>
        </w:trPr>
        <w:tc>
          <w:tcPr>
            <w:tcW w:w="8580" w:type="dxa"/>
            <w:gridSpan w:val="2"/>
            <w:tcBorders>
              <w:top w:val="single" w:color="auto" w:sz="12" w:space="0"/>
            </w:tcBorders>
            <w:vAlign w:val="center"/>
          </w:tcPr>
          <w:p w14:paraId="0C5FAC21">
            <w:pPr>
              <w:spacing w:line="320" w:lineRule="exact"/>
              <w:jc w:val="center"/>
              <w:rPr>
                <w:rFonts w:hint="default" w:ascii="Times New Roman" w:hAnsi="Times New Roman" w:cs="Times New Roman"/>
                <w:b/>
                <w:bCs/>
                <w:color w:val="000000"/>
                <w:sz w:val="24"/>
                <w:szCs w:val="24"/>
                <w:highlight w:val="none"/>
                <w:u w:val="none"/>
              </w:rPr>
            </w:pPr>
            <w:bookmarkStart w:id="30" w:name="_Hlk205213309"/>
            <w:r>
              <w:rPr>
                <w:rFonts w:hint="default" w:ascii="Times New Roman" w:hAnsi="Times New Roman" w:eastAsia="宋体" w:cs="Times New Roman"/>
                <w:b/>
                <w:bCs/>
                <w:color w:val="000000"/>
                <w:sz w:val="24"/>
                <w:szCs w:val="28"/>
                <w:highlight w:val="none"/>
                <w:u w:val="none"/>
              </w:rPr>
              <w:t>专栏4 新兴产业重点工程项目</w:t>
            </w:r>
          </w:p>
        </w:tc>
      </w:tr>
      <w:tr w14:paraId="68F3DE2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7" w:hRule="atLeast"/>
          <w:jc w:val="center"/>
        </w:trPr>
        <w:tc>
          <w:tcPr>
            <w:tcW w:w="1239" w:type="dxa"/>
            <w:tcBorders>
              <w:right w:val="single" w:color="auto" w:sz="4" w:space="0"/>
            </w:tcBorders>
            <w:vAlign w:val="center"/>
          </w:tcPr>
          <w:p w14:paraId="3C4DA1D5">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分类</w:t>
            </w:r>
          </w:p>
        </w:tc>
        <w:tc>
          <w:tcPr>
            <w:tcW w:w="7341" w:type="dxa"/>
            <w:tcBorders>
              <w:left w:val="single" w:color="auto" w:sz="4" w:space="0"/>
            </w:tcBorders>
            <w:vAlign w:val="center"/>
          </w:tcPr>
          <w:p w14:paraId="09464C90">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重点项目</w:t>
            </w:r>
          </w:p>
        </w:tc>
      </w:tr>
      <w:tr w14:paraId="2D08FF7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96" w:hRule="atLeast"/>
          <w:jc w:val="center"/>
        </w:trPr>
        <w:tc>
          <w:tcPr>
            <w:tcW w:w="1239" w:type="dxa"/>
            <w:tcBorders>
              <w:right w:val="single" w:color="auto" w:sz="4" w:space="0"/>
            </w:tcBorders>
            <w:vAlign w:val="center"/>
          </w:tcPr>
          <w:p w14:paraId="6E9EF7C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生物育种</w:t>
            </w:r>
          </w:p>
        </w:tc>
        <w:tc>
          <w:tcPr>
            <w:tcW w:w="7341" w:type="dxa"/>
            <w:tcBorders>
              <w:left w:val="single" w:color="auto" w:sz="4" w:space="0"/>
            </w:tcBorders>
            <w:vAlign w:val="center"/>
          </w:tcPr>
          <w:p w14:paraId="639382AC">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重点推进种子繁育示范基地农副产品深加工项目、大豆良种繁育基地建设项目、水稻良种繁育基地建设项目。</w:t>
            </w:r>
          </w:p>
        </w:tc>
      </w:tr>
      <w:tr w14:paraId="5C2EBBC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11" w:hRule="atLeast"/>
          <w:jc w:val="center"/>
        </w:trPr>
        <w:tc>
          <w:tcPr>
            <w:tcW w:w="1239" w:type="dxa"/>
            <w:tcBorders>
              <w:right w:val="single" w:color="auto" w:sz="4" w:space="0"/>
            </w:tcBorders>
            <w:vAlign w:val="center"/>
          </w:tcPr>
          <w:p w14:paraId="4D3E33A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卫星技术</w:t>
            </w:r>
          </w:p>
        </w:tc>
        <w:tc>
          <w:tcPr>
            <w:tcW w:w="7341" w:type="dxa"/>
            <w:tcBorders>
              <w:left w:val="single" w:color="auto" w:sz="4" w:space="0"/>
            </w:tcBorders>
            <w:vAlign w:val="center"/>
          </w:tcPr>
          <w:p w14:paraId="665168CF">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积极谋划卫星技术融合示范应用项目等。</w:t>
            </w:r>
          </w:p>
        </w:tc>
      </w:tr>
      <w:tr w14:paraId="4C6716F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6" w:hRule="atLeast"/>
          <w:jc w:val="center"/>
        </w:trPr>
        <w:tc>
          <w:tcPr>
            <w:tcW w:w="1239" w:type="dxa"/>
            <w:tcBorders>
              <w:right w:val="single" w:color="auto" w:sz="4" w:space="0"/>
            </w:tcBorders>
            <w:vAlign w:val="center"/>
          </w:tcPr>
          <w:p w14:paraId="07E7387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数字经济</w:t>
            </w:r>
          </w:p>
        </w:tc>
        <w:tc>
          <w:tcPr>
            <w:tcW w:w="7341" w:type="dxa"/>
            <w:tcBorders>
              <w:left w:val="single" w:color="auto" w:sz="4" w:space="0"/>
            </w:tcBorders>
            <w:vAlign w:val="center"/>
          </w:tcPr>
          <w:p w14:paraId="4C6EA970">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积极谋划企业数字化改造、推进数字农业等项目。</w:t>
            </w:r>
          </w:p>
        </w:tc>
      </w:tr>
      <w:tr w14:paraId="01BF63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382" w:hRule="atLeast"/>
          <w:jc w:val="center"/>
        </w:trPr>
        <w:tc>
          <w:tcPr>
            <w:tcW w:w="1239" w:type="dxa"/>
            <w:tcBorders>
              <w:right w:val="single" w:color="auto" w:sz="4" w:space="0"/>
            </w:tcBorders>
            <w:vAlign w:val="center"/>
          </w:tcPr>
          <w:p w14:paraId="29E8BD13">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新能源</w:t>
            </w:r>
          </w:p>
        </w:tc>
        <w:tc>
          <w:tcPr>
            <w:tcW w:w="7341" w:type="dxa"/>
            <w:tcBorders>
              <w:left w:val="single" w:color="auto" w:sz="4" w:space="0"/>
            </w:tcBorders>
            <w:vAlign w:val="center"/>
          </w:tcPr>
          <w:p w14:paraId="1ECD2FF6">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重点推进</w:t>
            </w:r>
            <w:bookmarkStart w:id="31" w:name="_Hlk209596643"/>
            <w:r>
              <w:rPr>
                <w:rFonts w:hint="default" w:ascii="Times New Roman" w:hAnsi="Times New Roman" w:eastAsia="宋体" w:cs="Times New Roman"/>
                <w:sz w:val="24"/>
                <w:szCs w:val="24"/>
                <w:highlight w:val="none"/>
                <w:u w:val="none"/>
              </w:rPr>
              <w:t>国电佳木斯郊区（猴石）风电场设备更新项目、郊区200兆瓦风电、佳木斯市郊区群林400MW/1600MWh电网侧独立储能项目、源网侧电化</w:t>
            </w:r>
            <w:bookmarkStart w:id="158" w:name="_GoBack"/>
            <w:r>
              <w:rPr>
                <w:rFonts w:hint="default" w:ascii="Times New Roman" w:hAnsi="Times New Roman" w:eastAsia="宋体" w:cs="Times New Roman"/>
                <w:sz w:val="24"/>
                <w:szCs w:val="24"/>
                <w:highlight w:val="none"/>
                <w:u w:val="none"/>
              </w:rPr>
              <w:t>学独立储能电站、康家围子航电枢纽项目、佳木斯鑫奥源燃气有限公司建设项目、新能源智慧仓储项目</w:t>
            </w:r>
            <w:r>
              <w:rPr>
                <w:rFonts w:hint="eastAsia" w:ascii="Times New Roman" w:hAnsi="Times New Roman" w:eastAsia="宋体" w:cs="Times New Roman"/>
                <w:sz w:val="24"/>
                <w:szCs w:val="24"/>
                <w:highlight w:val="none"/>
                <w:u w:val="none"/>
                <w:lang w:eastAsia="zh-CN"/>
              </w:rPr>
              <w:t>、深圳紫辰星储投资有限公司佳木100MW/392.01666MWh钠离子电池新型混合储能电站项目</w:t>
            </w:r>
            <w:r>
              <w:rPr>
                <w:rFonts w:hint="default" w:ascii="Times New Roman" w:hAnsi="Times New Roman" w:eastAsia="宋体" w:cs="Times New Roman"/>
                <w:sz w:val="24"/>
                <w:szCs w:val="24"/>
                <w:highlight w:val="none"/>
                <w:u w:val="none"/>
              </w:rPr>
              <w:t>等</w:t>
            </w:r>
            <w:bookmarkEnd w:id="31"/>
            <w:r>
              <w:rPr>
                <w:rFonts w:hint="default" w:ascii="Times New Roman" w:hAnsi="Times New Roman" w:eastAsia="宋体" w:cs="Times New Roman"/>
                <w:sz w:val="24"/>
                <w:szCs w:val="24"/>
                <w:highlight w:val="none"/>
                <w:u w:val="none"/>
              </w:rPr>
              <w:t>。</w:t>
            </w:r>
            <w:bookmarkEnd w:id="158"/>
          </w:p>
        </w:tc>
      </w:tr>
      <w:tr w14:paraId="5FD62B4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46" w:hRule="atLeast"/>
          <w:jc w:val="center"/>
        </w:trPr>
        <w:tc>
          <w:tcPr>
            <w:tcW w:w="1239" w:type="dxa"/>
            <w:tcBorders>
              <w:right w:val="single" w:color="auto" w:sz="4" w:space="0"/>
            </w:tcBorders>
            <w:vAlign w:val="center"/>
          </w:tcPr>
          <w:p w14:paraId="264612E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低空经济</w:t>
            </w:r>
          </w:p>
        </w:tc>
        <w:tc>
          <w:tcPr>
            <w:tcW w:w="7341" w:type="dxa"/>
            <w:tcBorders>
              <w:left w:val="single" w:color="auto" w:sz="4" w:space="0"/>
            </w:tcBorders>
            <w:vAlign w:val="center"/>
          </w:tcPr>
          <w:p w14:paraId="6950E7B6">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推进低空经济产业园项目等。</w:t>
            </w:r>
          </w:p>
        </w:tc>
      </w:tr>
      <w:tr w14:paraId="7F54E1C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039" w:hRule="atLeast"/>
          <w:jc w:val="center"/>
        </w:trPr>
        <w:tc>
          <w:tcPr>
            <w:tcW w:w="1239" w:type="dxa"/>
            <w:tcBorders>
              <w:bottom w:val="single" w:color="auto" w:sz="12" w:space="0"/>
              <w:right w:val="single" w:color="auto" w:sz="4" w:space="0"/>
            </w:tcBorders>
            <w:vAlign w:val="center"/>
          </w:tcPr>
          <w:p w14:paraId="364612F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新材料</w:t>
            </w:r>
          </w:p>
        </w:tc>
        <w:tc>
          <w:tcPr>
            <w:tcW w:w="7341" w:type="dxa"/>
            <w:tcBorders>
              <w:left w:val="single" w:color="auto" w:sz="4" w:space="0"/>
              <w:bottom w:val="single" w:color="auto" w:sz="12" w:space="0"/>
            </w:tcBorders>
            <w:vAlign w:val="center"/>
          </w:tcPr>
          <w:p w14:paraId="39514F1D">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实施气凝胶与相变储能材料项目、佳木斯橡塑新材料智能工厂项目、佳木斯市沥青混凝土废料绿色化转型升级项目；积极谋划引进石墨烯产业、碳纤维、新型建材等产业项目。</w:t>
            </w:r>
          </w:p>
        </w:tc>
      </w:tr>
      <w:tr w14:paraId="15DF6C9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0" w:hRule="atLeast"/>
          <w:jc w:val="center"/>
        </w:trPr>
        <w:tc>
          <w:tcPr>
            <w:tcW w:w="1239" w:type="dxa"/>
            <w:tcBorders>
              <w:bottom w:val="single" w:color="auto" w:sz="12" w:space="0"/>
              <w:right w:val="single" w:color="auto" w:sz="4" w:space="0"/>
            </w:tcBorders>
            <w:vAlign w:val="center"/>
          </w:tcPr>
          <w:p w14:paraId="76666BC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生物制造</w:t>
            </w:r>
          </w:p>
        </w:tc>
        <w:tc>
          <w:tcPr>
            <w:tcW w:w="7341" w:type="dxa"/>
            <w:tcBorders>
              <w:left w:val="single" w:color="auto" w:sz="4" w:space="0"/>
              <w:bottom w:val="single" w:color="auto" w:sz="12" w:space="0"/>
            </w:tcBorders>
            <w:vAlign w:val="center"/>
          </w:tcPr>
          <w:p w14:paraId="5240AAA5">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重点实施大豆深加工及中药纳豆产业化项目。</w:t>
            </w:r>
          </w:p>
        </w:tc>
      </w:tr>
      <w:bookmarkEnd w:id="30"/>
    </w:tbl>
    <w:p w14:paraId="37548404">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32" w:name="_Toc216985858"/>
      <w:r>
        <w:rPr>
          <w:rFonts w:hint="default" w:ascii="Times New Roman" w:hAnsi="Times New Roman" w:eastAsia="黑体" w:cs="Times New Roman"/>
          <w:b w:val="0"/>
          <w:bCs w:val="0"/>
          <w:highlight w:val="none"/>
          <w:u w:val="none"/>
          <w:lang w:val="zh-CN"/>
        </w:rPr>
        <w:t>三、前瞻布局未来产业赛道</w:t>
      </w:r>
      <w:bookmarkEnd w:id="32"/>
    </w:p>
    <w:p w14:paraId="40594DAB">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打造专业化创新先导区。</w:t>
      </w:r>
      <w:r>
        <w:rPr>
          <w:rFonts w:hint="default" w:ascii="Times New Roman" w:hAnsi="Times New Roman" w:eastAsia="仿宋_GB2312" w:cs="Times New Roman"/>
          <w:sz w:val="32"/>
          <w:szCs w:val="32"/>
          <w:highlight w:val="none"/>
          <w:u w:val="none"/>
        </w:rPr>
        <w:t>围绕未来制造、未来信息、未来材料、未来空间、未来能源和未来健康六大方向，整合全市科研基础，充分发挥郊区比较优势，以场景应用为牵引，聚焦高增长高潜能细分领域，加力孵化市场主体，加速培育未来产业。密切跟踪人工智能、基因技术、未来网络、氢能与储能、深海深空开发等前沿科技动态，积极探索在特定应用场景的融合应用可能性。聚焦氢能装备、人工智能、生物科技等前沿领域，在具备初步产业化基础的领域，通过发展示范场景、建设应用验证平台，精准招引</w:t>
      </w:r>
      <w:r>
        <w:rPr>
          <w:rFonts w:hint="eastAsia" w:ascii="Times New Roman" w:hAnsi="Times New Roman" w:eastAsia="仿宋_GB2312" w:cs="Times New Roman"/>
          <w:sz w:val="32"/>
          <w:szCs w:val="32"/>
          <w:highlight w:val="none"/>
          <w:u w:val="none"/>
          <w:lang w:val="en-US" w:eastAsia="zh-CN"/>
        </w:rPr>
        <w:t>相关</w:t>
      </w:r>
      <w:r>
        <w:rPr>
          <w:rFonts w:hint="default" w:ascii="Times New Roman" w:hAnsi="Times New Roman" w:eastAsia="仿宋_GB2312" w:cs="Times New Roman"/>
          <w:sz w:val="32"/>
          <w:szCs w:val="32"/>
          <w:highlight w:val="none"/>
          <w:u w:val="none"/>
        </w:rPr>
        <w:t>企业落户，形成产业集聚效应和创新示范效应。</w:t>
      </w:r>
    </w:p>
    <w:p w14:paraId="3D05662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sz w:val="32"/>
          <w:szCs w:val="32"/>
          <w:highlight w:val="none"/>
          <w:u w:val="none"/>
        </w:rPr>
        <w:t>强化场景应用牵引。</w:t>
      </w:r>
      <w:r>
        <w:rPr>
          <w:rFonts w:hint="default" w:ascii="Times New Roman" w:hAnsi="Times New Roman" w:eastAsia="仿宋_GB2312" w:cs="Times New Roman"/>
          <w:sz w:val="32"/>
          <w:szCs w:val="32"/>
          <w:highlight w:val="none"/>
          <w:u w:val="none"/>
        </w:rPr>
        <w:t>聚焦产业升级、政府治理、社会民生、科技创新四大领域深化场景应用，推动在郊区特色场景中先行先试、转化落地，构建“需求牵引创新、创新反哺产业”的良性循环。产业升级场景围绕装备制造、原材料加工、消费品生产等重点领域，面向产品设计、智能制造、质量检测、运维服务等关键环节，建设一批数字化车间、智能工厂等新型工业化应用场景，推动5G、工业互联网、人工智能等技术在工业场景中的融合应用。政府治理场景聚焦智慧政务、交通治理、应急管理、市场监管等重点领域，全面开放城市治理应用场景，建设智慧交通指挥平台、应急管理指挥系统、智慧市场监管平台等，提升政府数字化治理能力。社会民生场景瞄准智慧医疗、智慧教育、智慧养老、智慧文旅、乡村振兴等民生领域，拓展智慧医疗诊断平台、在线教育资源平台、智慧养老服务中心、乡村旅游数字化平台等应用场景，提升公共服务均等化、普惠化水平。</w:t>
      </w:r>
    </w:p>
    <w:tbl>
      <w:tblPr>
        <w:tblStyle w:val="30"/>
        <w:tblW w:w="8975"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52"/>
        <w:gridCol w:w="7723"/>
      </w:tblGrid>
      <w:tr w14:paraId="2F7CB2B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6" w:hRule="atLeast"/>
          <w:jc w:val="center"/>
        </w:trPr>
        <w:tc>
          <w:tcPr>
            <w:tcW w:w="8975" w:type="dxa"/>
            <w:gridSpan w:val="2"/>
            <w:tcBorders>
              <w:top w:val="single" w:color="auto" w:sz="12" w:space="0"/>
            </w:tcBorders>
            <w:vAlign w:val="center"/>
          </w:tcPr>
          <w:p w14:paraId="132C8F28">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专栏5 未来产业重点发展方向</w:t>
            </w:r>
          </w:p>
        </w:tc>
      </w:tr>
      <w:tr w14:paraId="18B959C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0" w:hRule="atLeast"/>
          <w:jc w:val="center"/>
        </w:trPr>
        <w:tc>
          <w:tcPr>
            <w:tcW w:w="1252" w:type="dxa"/>
            <w:tcBorders>
              <w:right w:val="single" w:color="auto" w:sz="4" w:space="0"/>
            </w:tcBorders>
            <w:vAlign w:val="center"/>
          </w:tcPr>
          <w:p w14:paraId="5DE117BB">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分类</w:t>
            </w:r>
          </w:p>
        </w:tc>
        <w:tc>
          <w:tcPr>
            <w:tcW w:w="7723" w:type="dxa"/>
            <w:tcBorders>
              <w:left w:val="single" w:color="auto" w:sz="4" w:space="0"/>
            </w:tcBorders>
            <w:vAlign w:val="center"/>
          </w:tcPr>
          <w:p w14:paraId="1F584770">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重点内容</w:t>
            </w:r>
          </w:p>
        </w:tc>
      </w:tr>
      <w:tr w14:paraId="7CC27FA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55" w:hRule="atLeast"/>
          <w:jc w:val="center"/>
        </w:trPr>
        <w:tc>
          <w:tcPr>
            <w:tcW w:w="1252" w:type="dxa"/>
            <w:tcBorders>
              <w:right w:val="single" w:color="auto" w:sz="4" w:space="0"/>
            </w:tcBorders>
            <w:vAlign w:val="center"/>
          </w:tcPr>
          <w:p w14:paraId="19B4C7D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sz w:val="24"/>
                <w:szCs w:val="24"/>
                <w:highlight w:val="none"/>
                <w:u w:val="none"/>
              </w:rPr>
              <w:t>未来制造</w:t>
            </w:r>
          </w:p>
        </w:tc>
        <w:tc>
          <w:tcPr>
            <w:tcW w:w="7723" w:type="dxa"/>
            <w:tcBorders>
              <w:left w:val="single" w:color="auto" w:sz="4" w:space="0"/>
            </w:tcBorders>
            <w:vAlign w:val="center"/>
          </w:tcPr>
          <w:p w14:paraId="476403BC">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智能制造：</w:t>
            </w:r>
            <w:r>
              <w:rPr>
                <w:rFonts w:hint="default" w:ascii="Times New Roman" w:hAnsi="Times New Roman" w:eastAsia="宋体" w:cs="Times New Roman"/>
                <w:sz w:val="24"/>
                <w:szCs w:val="24"/>
                <w:highlight w:val="none"/>
                <w:u w:val="none"/>
              </w:rPr>
              <w:t>依托工业互联网和新一代智能机床，提升农机装备、食品加工等传统制造产线的智能化水平，建设数字化车间与智能工厂（如智能化农机装配线、食品加工自动化产线）。</w:t>
            </w:r>
          </w:p>
          <w:p w14:paraId="62F021B4">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智能传感与控制。</w:t>
            </w:r>
            <w:r>
              <w:rPr>
                <w:rFonts w:hint="default" w:ascii="Times New Roman" w:hAnsi="Times New Roman" w:eastAsia="宋体" w:cs="Times New Roman"/>
                <w:sz w:val="24"/>
                <w:szCs w:val="24"/>
                <w:highlight w:val="none"/>
                <w:u w:val="none"/>
              </w:rPr>
              <w:t>研发适用于农业环境监测的智能传感器（如土壤墒情、气象监测）、工业设备智能控制组件（如农机智能控制系统），推动“类脑芯片”“非易失性存储”等技术在农业物联网中的应用。</w:t>
            </w:r>
          </w:p>
          <w:p w14:paraId="3149F180">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人形机器人：</w:t>
            </w:r>
            <w:r>
              <w:rPr>
                <w:rFonts w:hint="default" w:ascii="Times New Roman" w:hAnsi="Times New Roman" w:eastAsia="宋体" w:cs="Times New Roman"/>
                <w:sz w:val="24"/>
                <w:szCs w:val="24"/>
                <w:highlight w:val="none"/>
                <w:u w:val="none"/>
              </w:rPr>
              <w:t>开发适用于农业采摘、物流搬运、设施维护等场景的人形机器人，重点突破“微型伺服驱动”“高性能灵巧手”等核心部组件，降低人力成本并提升作业效率。</w:t>
            </w:r>
          </w:p>
        </w:tc>
      </w:tr>
      <w:tr w14:paraId="483052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67" w:hRule="atLeast"/>
          <w:jc w:val="center"/>
        </w:trPr>
        <w:tc>
          <w:tcPr>
            <w:tcW w:w="1252" w:type="dxa"/>
            <w:tcBorders>
              <w:right w:val="single" w:color="auto" w:sz="4" w:space="0"/>
            </w:tcBorders>
            <w:vAlign w:val="center"/>
          </w:tcPr>
          <w:p w14:paraId="4CA941A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sz w:val="24"/>
                <w:szCs w:val="24"/>
                <w:highlight w:val="none"/>
                <w:u w:val="none"/>
              </w:rPr>
              <w:t>未来信息</w:t>
            </w:r>
          </w:p>
        </w:tc>
        <w:tc>
          <w:tcPr>
            <w:tcW w:w="7723" w:type="dxa"/>
            <w:tcBorders>
              <w:left w:val="single" w:color="auto" w:sz="4" w:space="0"/>
            </w:tcBorders>
            <w:vAlign w:val="center"/>
          </w:tcPr>
          <w:p w14:paraId="1B4EB9DF">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智能供应链与定制化服务：</w:t>
            </w:r>
            <w:r>
              <w:rPr>
                <w:rFonts w:hint="default" w:ascii="Times New Roman" w:hAnsi="Times New Roman" w:eastAsia="宋体" w:cs="Times New Roman"/>
                <w:sz w:val="24"/>
                <w:szCs w:val="24"/>
                <w:highlight w:val="none"/>
                <w:u w:val="none"/>
              </w:rPr>
              <w:t>重点构建面向农业和农产品加工的智能供应</w:t>
            </w:r>
          </w:p>
          <w:p w14:paraId="14487EDC">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链管理系统，实现“需求预测—生产计划—物流配送”全流程智能化；推广“大规模个性化定制”模式（如定制化农产品包装、个性化农资产品）。</w:t>
            </w:r>
          </w:p>
          <w:p w14:paraId="3C377392">
            <w:pPr>
              <w:spacing w:line="320" w:lineRule="exact"/>
              <w:jc w:val="left"/>
              <w:rPr>
                <w:rFonts w:hint="default" w:ascii="Times New Roman" w:hAnsi="Times New Roman" w:eastAsia="宋体" w:cs="Times New Roman"/>
                <w:spacing w:val="-6"/>
                <w:sz w:val="24"/>
                <w:szCs w:val="24"/>
                <w:highlight w:val="none"/>
                <w:u w:val="none"/>
              </w:rPr>
            </w:pPr>
            <w:r>
              <w:rPr>
                <w:rFonts w:hint="default" w:ascii="Times New Roman" w:hAnsi="Times New Roman" w:eastAsia="宋体" w:cs="Times New Roman"/>
                <w:b/>
                <w:bCs/>
                <w:sz w:val="24"/>
                <w:szCs w:val="24"/>
                <w:highlight w:val="none"/>
                <w:u w:val="none"/>
              </w:rPr>
              <w:t>智能硬件研发：</w:t>
            </w:r>
            <w:r>
              <w:rPr>
                <w:rFonts w:hint="default" w:ascii="Times New Roman" w:hAnsi="Times New Roman" w:eastAsia="宋体" w:cs="Times New Roman"/>
                <w:spacing w:val="-6"/>
                <w:sz w:val="24"/>
                <w:szCs w:val="24"/>
                <w:highlight w:val="none"/>
                <w:u w:val="none"/>
              </w:rPr>
              <w:t>开发适用于农业场景的AIoT设备（如智能灌溉控制器、无人机巡检终端）、农村生活智能终端（如健康监测设备、智能家居产品）。</w:t>
            </w:r>
          </w:p>
          <w:p w14:paraId="365983FA">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北斗导航：</w:t>
            </w:r>
            <w:r>
              <w:rPr>
                <w:rFonts w:hint="default" w:ascii="Times New Roman" w:hAnsi="Times New Roman" w:eastAsia="宋体" w:cs="Times New Roman"/>
                <w:sz w:val="24"/>
                <w:szCs w:val="24"/>
                <w:highlight w:val="none"/>
                <w:u w:val="none"/>
              </w:rPr>
              <w:t>推动北斗卫星导航系统在农机自动驾驶、精准播种、智慧牧场等领域的规模化应用；建设“空天地”一体化卫星大数据中心分节点，服务本地农业资源监测与应急管理。</w:t>
            </w:r>
          </w:p>
          <w:p w14:paraId="2328E2CB">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激光通信终端：</w:t>
            </w:r>
            <w:r>
              <w:rPr>
                <w:rFonts w:hint="default" w:ascii="Times New Roman" w:hAnsi="Times New Roman" w:eastAsia="宋体" w:cs="Times New Roman"/>
                <w:sz w:val="24"/>
                <w:szCs w:val="24"/>
                <w:highlight w:val="none"/>
                <w:u w:val="none"/>
              </w:rPr>
              <w:t>研发轻量化激光通信终端，支撑农村偏远地区高速数据传输需求（如远程医疗、在线教育）。</w:t>
            </w:r>
          </w:p>
          <w:p w14:paraId="72913878">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VR/AR+农业文旅：</w:t>
            </w:r>
            <w:r>
              <w:rPr>
                <w:rFonts w:hint="default" w:ascii="Times New Roman" w:hAnsi="Times New Roman" w:eastAsia="宋体" w:cs="Times New Roman"/>
                <w:sz w:val="24"/>
                <w:szCs w:val="24"/>
                <w:highlight w:val="none"/>
                <w:u w:val="none"/>
              </w:rPr>
              <w:t>开发基于VR/AR的农业科普教育产品（如虚拟农场体验）、乡村旅游沉浸式导览系统；推动数字交互技术在农产品电商直播、智慧农贸市场中的应用。</w:t>
            </w:r>
          </w:p>
        </w:tc>
      </w:tr>
      <w:tr w14:paraId="340539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6" w:hRule="atLeast"/>
          <w:jc w:val="center"/>
        </w:trPr>
        <w:tc>
          <w:tcPr>
            <w:tcW w:w="1252" w:type="dxa"/>
            <w:tcBorders>
              <w:right w:val="single" w:color="auto" w:sz="4" w:space="0"/>
            </w:tcBorders>
            <w:vAlign w:val="center"/>
          </w:tcPr>
          <w:p w14:paraId="00E06CBA">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sz w:val="24"/>
                <w:szCs w:val="24"/>
                <w:highlight w:val="none"/>
                <w:u w:val="none"/>
              </w:rPr>
              <w:t>未来材料</w:t>
            </w:r>
          </w:p>
        </w:tc>
        <w:tc>
          <w:tcPr>
            <w:tcW w:w="7723" w:type="dxa"/>
            <w:tcBorders>
              <w:left w:val="single" w:color="auto" w:sz="4" w:space="0"/>
            </w:tcBorders>
            <w:vAlign w:val="center"/>
          </w:tcPr>
          <w:p w14:paraId="3CB7BFB0">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生物基材料：</w:t>
            </w:r>
            <w:r>
              <w:rPr>
                <w:rFonts w:hint="default" w:ascii="Times New Roman" w:hAnsi="Times New Roman" w:eastAsia="宋体" w:cs="Times New Roman"/>
                <w:sz w:val="24"/>
                <w:szCs w:val="24"/>
                <w:highlight w:val="none"/>
                <w:u w:val="none"/>
              </w:rPr>
              <w:t>重点发展以秸秆、菌渣等农业废弃物为原料的非粮生物基材料（如可降解农膜、生物包装材料），培育“生物尼龙”“非粮聚乳酸”产业链。</w:t>
            </w:r>
          </w:p>
          <w:p w14:paraId="70418B8B">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复合材料：</w:t>
            </w:r>
            <w:r>
              <w:rPr>
                <w:rFonts w:hint="default" w:ascii="Times New Roman" w:hAnsi="Times New Roman" w:eastAsia="宋体" w:cs="Times New Roman"/>
                <w:sz w:val="24"/>
                <w:szCs w:val="24"/>
                <w:highlight w:val="none"/>
                <w:u w:val="none"/>
              </w:rPr>
              <w:t>升级铝镁合金、碳纤维复合材料制品，应用于农机装备轻量化（如轻质农机结构件）、建筑节能（如复合保温材料）。</w:t>
            </w:r>
          </w:p>
          <w:p w14:paraId="1D93392D">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宽禁带半导体：布局碳化硅、氮化镓等宽禁带半导体材料在农村光伏逆变器、高效电机等领域的应用，支持企业参与磷化铟等下一代半导体材料的技术储备。</w:t>
            </w:r>
          </w:p>
        </w:tc>
      </w:tr>
      <w:tr w14:paraId="78EB310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2" w:hRule="atLeast"/>
          <w:jc w:val="center"/>
        </w:trPr>
        <w:tc>
          <w:tcPr>
            <w:tcW w:w="1252" w:type="dxa"/>
            <w:tcBorders>
              <w:right w:val="single" w:color="auto" w:sz="4" w:space="0"/>
            </w:tcBorders>
            <w:vAlign w:val="center"/>
          </w:tcPr>
          <w:p w14:paraId="477DDDF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sz w:val="24"/>
                <w:szCs w:val="24"/>
                <w:highlight w:val="none"/>
                <w:u w:val="none"/>
              </w:rPr>
              <w:t>未来空间</w:t>
            </w:r>
          </w:p>
        </w:tc>
        <w:tc>
          <w:tcPr>
            <w:tcW w:w="7723" w:type="dxa"/>
            <w:tcBorders>
              <w:left w:val="single" w:color="auto" w:sz="4" w:space="0"/>
            </w:tcBorders>
            <w:vAlign w:val="center"/>
          </w:tcPr>
          <w:p w14:paraId="42BA3835">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空间信息网络：</w:t>
            </w:r>
            <w:r>
              <w:rPr>
                <w:rFonts w:hint="default" w:ascii="Times New Roman" w:hAnsi="Times New Roman" w:eastAsia="宋体" w:cs="Times New Roman"/>
                <w:sz w:val="24"/>
                <w:szCs w:val="24"/>
                <w:highlight w:val="none"/>
                <w:u w:val="none"/>
              </w:rPr>
              <w:t>研发适用于农业遥感的低成本卫星载荷（如多光谱相机），支撑“黑土地保护”“农作物长势监测”等应用；参与微小卫星制造，服务本地应急通信与灾害预警。</w:t>
            </w:r>
          </w:p>
          <w:p w14:paraId="7D0B2869">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氢能制备与应用：</w:t>
            </w:r>
            <w:r>
              <w:rPr>
                <w:rFonts w:hint="default" w:ascii="Times New Roman" w:hAnsi="Times New Roman" w:eastAsia="宋体" w:cs="Times New Roman"/>
                <w:sz w:val="24"/>
                <w:szCs w:val="24"/>
                <w:highlight w:val="none"/>
                <w:u w:val="none"/>
              </w:rPr>
              <w:t>重点建设分布式制氢加氢站，推动氢能在农业机械（如氢能拖拉机）、冷链物流车辆中的示范应用；探索“光伏+制氢+储能”等“新能源多能互补”模式。</w:t>
            </w:r>
          </w:p>
          <w:p w14:paraId="301A3836">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寒区储能与装备：</w:t>
            </w:r>
            <w:r>
              <w:rPr>
                <w:rFonts w:hint="default" w:ascii="Times New Roman" w:hAnsi="Times New Roman" w:eastAsia="宋体" w:cs="Times New Roman"/>
                <w:sz w:val="24"/>
                <w:szCs w:val="24"/>
                <w:highlight w:val="none"/>
                <w:u w:val="none"/>
              </w:rPr>
              <w:t>开发高安全宽温固态电池系统，保障冬季农机设备、冷链物流的电力供应；研发低成本寒区储能电池，支撑农村分布式能源系统。</w:t>
            </w:r>
          </w:p>
        </w:tc>
      </w:tr>
      <w:tr w14:paraId="5869F0D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5" w:hRule="atLeast"/>
          <w:jc w:val="center"/>
        </w:trPr>
        <w:tc>
          <w:tcPr>
            <w:tcW w:w="1252" w:type="dxa"/>
            <w:tcBorders>
              <w:right w:val="single" w:color="auto" w:sz="4" w:space="0"/>
            </w:tcBorders>
            <w:vAlign w:val="center"/>
          </w:tcPr>
          <w:p w14:paraId="71C4C95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sz w:val="24"/>
                <w:szCs w:val="24"/>
                <w:highlight w:val="none"/>
                <w:u w:val="none"/>
              </w:rPr>
              <w:t>未来能源</w:t>
            </w:r>
          </w:p>
        </w:tc>
        <w:tc>
          <w:tcPr>
            <w:tcW w:w="7723" w:type="dxa"/>
            <w:tcBorders>
              <w:left w:val="single" w:color="auto" w:sz="4" w:space="0"/>
            </w:tcBorders>
            <w:vAlign w:val="center"/>
          </w:tcPr>
          <w:p w14:paraId="256CC262">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寒地新型储能技术：</w:t>
            </w:r>
            <w:r>
              <w:rPr>
                <w:rFonts w:hint="default" w:ascii="Times New Roman" w:hAnsi="Times New Roman" w:eastAsia="宋体" w:cs="Times New Roman"/>
                <w:sz w:val="24"/>
                <w:szCs w:val="24"/>
                <w:highlight w:val="none"/>
                <w:u w:val="none"/>
              </w:rPr>
              <w:t>攻关高安全电化学储能（如钒电池）、超高温储放热技术，支撑农村分布式光伏、风电的稳定并网，推广物理储能（如熔盐储能）在农业设施供暖中的应用。</w:t>
            </w:r>
          </w:p>
        </w:tc>
      </w:tr>
      <w:tr w14:paraId="650E999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63" w:hRule="atLeast"/>
          <w:jc w:val="center"/>
        </w:trPr>
        <w:tc>
          <w:tcPr>
            <w:tcW w:w="1252" w:type="dxa"/>
            <w:tcBorders>
              <w:bottom w:val="single" w:color="auto" w:sz="12" w:space="0"/>
              <w:right w:val="single" w:color="auto" w:sz="4" w:space="0"/>
            </w:tcBorders>
            <w:vAlign w:val="center"/>
          </w:tcPr>
          <w:p w14:paraId="7349F7C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未来健康</w:t>
            </w:r>
          </w:p>
        </w:tc>
        <w:tc>
          <w:tcPr>
            <w:tcW w:w="7723" w:type="dxa"/>
            <w:tcBorders>
              <w:left w:val="single" w:color="auto" w:sz="4" w:space="0"/>
              <w:bottom w:val="single" w:color="auto" w:sz="12" w:space="0"/>
            </w:tcBorders>
            <w:vAlign w:val="center"/>
          </w:tcPr>
          <w:p w14:paraId="77B418B5">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高通量基因测序：</w:t>
            </w:r>
            <w:r>
              <w:rPr>
                <w:rFonts w:hint="default" w:ascii="Times New Roman" w:hAnsi="Times New Roman" w:eastAsia="宋体" w:cs="Times New Roman"/>
                <w:sz w:val="24"/>
                <w:szCs w:val="24"/>
                <w:highlight w:val="none"/>
                <w:u w:val="none"/>
              </w:rPr>
              <w:t>建设区域性基因检测中心，面向农业育种（如作物抗病性筛选）、畜禽疫病防控提供基因测序服务；推动基因诊疗技术在基层医疗机构的试点应用。</w:t>
            </w:r>
          </w:p>
          <w:p w14:paraId="5324E298">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微生物基食品：</w:t>
            </w:r>
            <w:r>
              <w:rPr>
                <w:rFonts w:hint="default" w:ascii="Times New Roman" w:hAnsi="Times New Roman" w:eastAsia="宋体" w:cs="Times New Roman"/>
                <w:sz w:val="24"/>
                <w:szCs w:val="24"/>
                <w:highlight w:val="none"/>
                <w:u w:val="none"/>
              </w:rPr>
              <w:t>重点开发功能性益生菌、微生物发酵食品（如特色发酵乳制品），利用工业微生物菌种改良技术，生产生物农药、生物肥料。</w:t>
            </w:r>
          </w:p>
          <w:p w14:paraId="4915D163">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 xml:space="preserve">数智化医疗装备：推广适用于基层医疗的便携式智能诊断设备（如AI辅助影像诊断仪）、远程医疗机器人，研发适用于农村养老场景的健康监测设备（如可穿戴式心电监测仪）。 </w:t>
            </w:r>
          </w:p>
        </w:tc>
      </w:tr>
    </w:tbl>
    <w:p w14:paraId="7C26C211">
      <w:pPr>
        <w:pStyle w:val="3"/>
        <w:keepNext w:val="0"/>
        <w:keepLines w:val="0"/>
        <w:pageBreakBefore w:val="0"/>
        <w:widowControl w:val="0"/>
        <w:kinsoku/>
        <w:wordWrap/>
        <w:overflowPunct w:val="0"/>
        <w:topLinePunct w:val="0"/>
        <w:autoSpaceDE/>
        <w:autoSpaceDN/>
        <w:bidi w:val="0"/>
        <w:adjustRightInd/>
        <w:snapToGrid/>
        <w:spacing w:before="0" w:after="0" w:line="590" w:lineRule="exact"/>
        <w:ind w:firstLine="640" w:firstLineChars="200"/>
        <w:textAlignment w:val="auto"/>
        <w:rPr>
          <w:rFonts w:hint="default" w:ascii="Times New Roman" w:hAnsi="Times New Roman" w:eastAsia="黑体" w:cs="Times New Roman"/>
          <w:b w:val="0"/>
          <w:bCs w:val="0"/>
          <w:highlight w:val="none"/>
          <w:u w:val="none"/>
          <w:lang w:val="zh-CN"/>
        </w:rPr>
      </w:pPr>
      <w:bookmarkStart w:id="33" w:name="_Hlk204319662"/>
      <w:bookmarkStart w:id="34" w:name="_Toc216985859"/>
      <w:r>
        <w:rPr>
          <w:rFonts w:hint="default" w:ascii="Times New Roman" w:hAnsi="Times New Roman" w:eastAsia="黑体" w:cs="Times New Roman"/>
          <w:b w:val="0"/>
          <w:bCs w:val="0"/>
          <w:highlight w:val="none"/>
          <w:u w:val="none"/>
          <w:lang w:val="zh-CN"/>
        </w:rPr>
        <w:t>四、</w:t>
      </w:r>
      <w:bookmarkStart w:id="35" w:name="OLE_LINK13"/>
      <w:r>
        <w:rPr>
          <w:rFonts w:hint="default" w:ascii="Times New Roman" w:hAnsi="Times New Roman" w:eastAsia="黑体" w:cs="Times New Roman"/>
          <w:b w:val="0"/>
          <w:bCs w:val="0"/>
          <w:highlight w:val="none"/>
          <w:u w:val="none"/>
          <w:lang w:val="zh-CN"/>
        </w:rPr>
        <w:t>提升产业园区</w:t>
      </w:r>
      <w:bookmarkEnd w:id="33"/>
      <w:bookmarkEnd w:id="35"/>
      <w:r>
        <w:rPr>
          <w:rFonts w:hint="default" w:ascii="Times New Roman" w:hAnsi="Times New Roman" w:eastAsia="黑体" w:cs="Times New Roman"/>
          <w:b w:val="0"/>
          <w:bCs w:val="0"/>
          <w:highlight w:val="none"/>
          <w:u w:val="none"/>
          <w:lang w:val="zh-CN"/>
        </w:rPr>
        <w:t>承载能力</w:t>
      </w:r>
      <w:bookmarkEnd w:id="34"/>
    </w:p>
    <w:p w14:paraId="75EFF751">
      <w:pPr>
        <w:keepNext w:val="0"/>
        <w:keepLines w:val="0"/>
        <w:pageBreakBefore w:val="0"/>
        <w:widowControl w:val="0"/>
        <w:kinsoku/>
        <w:wordWrap/>
        <w:overflowPunct w:val="0"/>
        <w:topLinePunct w:val="0"/>
        <w:autoSpaceDE/>
        <w:autoSpaceDN/>
        <w:bidi w:val="0"/>
        <w:adjustRightInd w:val="0"/>
        <w:snapToGrid w:val="0"/>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加快发展要素向园区集聚。</w:t>
      </w:r>
      <w:r>
        <w:rPr>
          <w:rFonts w:hint="default" w:ascii="Times New Roman" w:hAnsi="Times New Roman" w:eastAsia="仿宋_GB2312" w:cs="Times New Roman"/>
          <w:sz w:val="32"/>
          <w:szCs w:val="32"/>
          <w:highlight w:val="none"/>
          <w:u w:val="none"/>
        </w:rPr>
        <w:t>坚持特色化、专业化、集约化方向，充分发挥园区现有基础和优势，推进区域存量、招商增量项目入驻园区。完善配套服务，支持引导金融、物流、科技、中介、营销等生产性服务业企业入园发展。抓好产业支持体系和公共服务平台配套设施建设，重点推动建设智能化标准厂房。提高入园项目质量，严格项目准入，坚持节约资源和保护环境的原则，严禁高能耗、高污染项目进入园区。建立健全低效、低产用地退出机制，将建设用地集约利用情况纳入考评体系。鼓励园区围绕专业运营、市场化招商、承诺制容缺办理等开拓创新，提升园区发展活力。鼓励和支持各类社会资本、融资机构投入园区建设，参与基础设施建设和运营。</w:t>
      </w:r>
    </w:p>
    <w:p w14:paraId="11EFC30F">
      <w:pPr>
        <w:keepNext w:val="0"/>
        <w:keepLines w:val="0"/>
        <w:pageBreakBefore w:val="0"/>
        <w:widowControl w:val="0"/>
        <w:kinsoku/>
        <w:wordWrap/>
        <w:overflowPunct w:val="0"/>
        <w:topLinePunct w:val="0"/>
        <w:autoSpaceDE/>
        <w:autoSpaceDN/>
        <w:bidi w:val="0"/>
        <w:adjustRightInd w:val="0"/>
        <w:snapToGrid w:val="0"/>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提高综合配套服务能力。</w:t>
      </w:r>
      <w:r>
        <w:rPr>
          <w:rFonts w:hint="default" w:ascii="Times New Roman" w:hAnsi="Times New Roman" w:eastAsia="仿宋_GB2312" w:cs="Times New Roman"/>
          <w:sz w:val="32"/>
          <w:szCs w:val="32"/>
          <w:highlight w:val="none"/>
          <w:u w:val="none"/>
        </w:rPr>
        <w:t>进一步完善园区基础设施，增强吸引力和承载力，提高产业园区给排水、供电、供气、干线道路、电视、通信及综合管廊等基础设施建设标准，完善环保配套设施，合理布局污水处理、固体废弃物及垃圾中转或处理设施，提升园区承载能力。聚焦资产盘活，推动闲置低效资产改造与转型，合理调整规划老旧厂房等闲置资产，改造为智能制造车间或创意研发空间，为培育新兴产业创造良好条件。围绕主导产业和特色产业，开展优势领域创新平台提升行动，重点建设创新基础设施和科技共享平台，为企业创新提供有力支撑，实现产业链向高端化延伸。建设产教融合实训基地，通过实践教学、技术研发、工艺改进和产品中试等形式，辐射带动相关产业领域的创新发展。</w:t>
      </w:r>
    </w:p>
    <w:p w14:paraId="361AC7D4">
      <w:pPr>
        <w:keepNext w:val="0"/>
        <w:keepLines w:val="0"/>
        <w:pageBreakBefore w:val="0"/>
        <w:widowControl w:val="0"/>
        <w:kinsoku/>
        <w:wordWrap/>
        <w:overflowPunct w:val="0"/>
        <w:topLinePunct w:val="0"/>
        <w:autoSpaceDE/>
        <w:autoSpaceDN/>
        <w:bidi w:val="0"/>
        <w:adjustRightInd w:val="0"/>
        <w:snapToGrid w:val="0"/>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聚焦管理制度改革创新。</w:t>
      </w:r>
      <w:bookmarkStart w:id="36" w:name="OLE_LINK1"/>
      <w:r>
        <w:rPr>
          <w:rFonts w:hint="default" w:ascii="Times New Roman" w:hAnsi="Times New Roman" w:eastAsia="仿宋_GB2312" w:cs="Times New Roman"/>
          <w:sz w:val="32"/>
          <w:szCs w:val="32"/>
          <w:highlight w:val="none"/>
          <w:u w:val="none"/>
        </w:rPr>
        <w:t>深化“管委会+运营公司”运营模式改革，紧扣产业集聚与经济发展核心任务，突出市场化导向，推动园区回归经济功能属性，推动开发区从传统的产业聚集区向创新驱动的现代化园区转变。明确“去行政化、市场化、专业化”改革方向，全力推行“管运分离”模式，打造科学管理架构，重构管委会职能，整合内设机构实行“大部门制”，统筹经济发展、投资促进、科技创新、服务保障等职能。高质量建设市场化运营平台，推动招商引资、建设运营、企业服务等公司化运作。强化园区队伍建设，选调“精兵强将”充实到经济主战线，在发展的赛道上“唱主角、挑大梁”。探索实施雇员制、专员制等灵活用人机制，吸引、集聚一批懂产业、科创、政策、市场，善谈判、精服务的复合型人才。大力开展各类培训，提升园区干部队伍综合素养，着重培养能谈项目、能高效表达、能组织活动、懂产业知识、懂科技金融、懂项目服务的“三能三懂”专业团队。</w:t>
      </w:r>
      <w:bookmarkEnd w:id="36"/>
    </w:p>
    <w:tbl>
      <w:tblPr>
        <w:tblStyle w:val="30"/>
        <w:tblW w:w="8285"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76"/>
        <w:gridCol w:w="7009"/>
      </w:tblGrid>
      <w:tr w14:paraId="51107C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3" w:hRule="atLeast"/>
          <w:jc w:val="center"/>
        </w:trPr>
        <w:tc>
          <w:tcPr>
            <w:tcW w:w="8285" w:type="dxa"/>
            <w:gridSpan w:val="2"/>
            <w:tcBorders>
              <w:top w:val="single" w:color="auto" w:sz="12" w:space="0"/>
            </w:tcBorders>
            <w:vAlign w:val="center"/>
          </w:tcPr>
          <w:p w14:paraId="3C70DE64">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专栏6 做强做优做大园区经济</w:t>
            </w:r>
          </w:p>
        </w:tc>
      </w:tr>
      <w:tr w14:paraId="2159A00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7" w:hRule="atLeast"/>
          <w:jc w:val="center"/>
        </w:trPr>
        <w:tc>
          <w:tcPr>
            <w:tcW w:w="1276" w:type="dxa"/>
            <w:tcBorders>
              <w:right w:val="single" w:color="auto" w:sz="4" w:space="0"/>
            </w:tcBorders>
            <w:vAlign w:val="center"/>
          </w:tcPr>
          <w:p w14:paraId="00728F8E">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分类</w:t>
            </w:r>
          </w:p>
        </w:tc>
        <w:tc>
          <w:tcPr>
            <w:tcW w:w="7009" w:type="dxa"/>
            <w:tcBorders>
              <w:left w:val="single" w:color="auto" w:sz="4" w:space="0"/>
            </w:tcBorders>
            <w:vAlign w:val="center"/>
          </w:tcPr>
          <w:p w14:paraId="45F9F5DB">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重点内容</w:t>
            </w:r>
          </w:p>
        </w:tc>
      </w:tr>
      <w:tr w14:paraId="3394E16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0" w:hRule="atLeast"/>
          <w:jc w:val="center"/>
        </w:trPr>
        <w:tc>
          <w:tcPr>
            <w:tcW w:w="1276" w:type="dxa"/>
            <w:tcBorders>
              <w:right w:val="single" w:color="auto" w:sz="4" w:space="0"/>
            </w:tcBorders>
            <w:vAlign w:val="center"/>
          </w:tcPr>
          <w:p w14:paraId="065D578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打造低空经济产业园</w:t>
            </w:r>
          </w:p>
        </w:tc>
        <w:tc>
          <w:tcPr>
            <w:tcW w:w="7009" w:type="dxa"/>
            <w:tcBorders>
              <w:left w:val="single" w:color="auto" w:sz="4" w:space="0"/>
            </w:tcBorders>
            <w:vAlign w:val="center"/>
          </w:tcPr>
          <w:p w14:paraId="45F3C337">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深耕低空经济应用场景，主攻无人机工业巡检、地理测绘、农业监测、城市治理，提供精准数据决策支持。夯实技术人才基础，建设测试培训基地，开展飞行器认证与行业应用培训；深化5G+无人机在应急通讯、物流末端配送示范应用。构建全链条服务，联合申报低空经济试点，打造“研发</w:t>
            </w:r>
            <w:r>
              <w:rPr>
                <w:rFonts w:hint="default" w:ascii="Times New Roman" w:hAnsi="Times New Roman" w:eastAsia="宋体" w:cs="Times New Roman"/>
                <w:color w:val="000000"/>
                <w:sz w:val="24"/>
                <w:szCs w:val="24"/>
                <w:highlight w:val="none"/>
                <w:u w:val="none"/>
                <w:lang w:eastAsia="zh-CN"/>
              </w:rPr>
              <w:t>－</w:t>
            </w:r>
            <w:r>
              <w:rPr>
                <w:rFonts w:hint="default" w:ascii="Times New Roman" w:hAnsi="Times New Roman" w:eastAsia="宋体" w:cs="Times New Roman"/>
                <w:color w:val="000000"/>
                <w:sz w:val="24"/>
                <w:szCs w:val="24"/>
                <w:highlight w:val="none"/>
                <w:u w:val="none"/>
              </w:rPr>
              <w:t>转化</w:t>
            </w:r>
            <w:r>
              <w:rPr>
                <w:rFonts w:hint="default" w:ascii="Times New Roman" w:hAnsi="Times New Roman" w:eastAsia="宋体" w:cs="Times New Roman"/>
                <w:color w:val="000000"/>
                <w:sz w:val="24"/>
                <w:szCs w:val="24"/>
                <w:highlight w:val="none"/>
                <w:u w:val="none"/>
                <w:lang w:eastAsia="zh-CN"/>
              </w:rPr>
              <w:t>－</w:t>
            </w:r>
            <w:r>
              <w:rPr>
                <w:rFonts w:hint="default" w:ascii="Times New Roman" w:hAnsi="Times New Roman" w:eastAsia="宋体" w:cs="Times New Roman"/>
                <w:color w:val="000000"/>
                <w:sz w:val="24"/>
                <w:szCs w:val="24"/>
                <w:highlight w:val="none"/>
                <w:u w:val="none"/>
              </w:rPr>
              <w:t>孵化”一体化产业生态，确立区域核心支撑地位。</w:t>
            </w:r>
          </w:p>
        </w:tc>
      </w:tr>
      <w:tr w14:paraId="1363E1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210" w:hRule="atLeast"/>
          <w:jc w:val="center"/>
        </w:trPr>
        <w:tc>
          <w:tcPr>
            <w:tcW w:w="1276" w:type="dxa"/>
            <w:tcBorders>
              <w:right w:val="single" w:color="auto" w:sz="4" w:space="0"/>
            </w:tcBorders>
            <w:vAlign w:val="center"/>
          </w:tcPr>
          <w:p w14:paraId="7198371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构建智能绿色物流体系</w:t>
            </w:r>
          </w:p>
        </w:tc>
        <w:tc>
          <w:tcPr>
            <w:tcW w:w="7009" w:type="dxa"/>
            <w:tcBorders>
              <w:left w:val="single" w:color="auto" w:sz="4" w:space="0"/>
            </w:tcBorders>
            <w:vAlign w:val="center"/>
          </w:tcPr>
          <w:p w14:paraId="77870F53">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 xml:space="preserve">加快电子商务产业园区智能升级，持续投入物联网、大数据、人工智能等技术，构建智能物流系统，实现物流信息实时监控与智能调度。优化智能仓储管理系统，提升仓储空间利用率，广泛应用智能分拣设备降本增效。大力推广新能源物流车辆（电动、氢燃料电池等），推广使用可循环包装材料，减少环境影响。实现物流降本增效、服务提升与绿色低碳发展的“多赢”。 </w:t>
            </w:r>
          </w:p>
        </w:tc>
      </w:tr>
      <w:tr w14:paraId="07DFA9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53" w:hRule="atLeast"/>
          <w:jc w:val="center"/>
        </w:trPr>
        <w:tc>
          <w:tcPr>
            <w:tcW w:w="1276" w:type="dxa"/>
            <w:tcBorders>
              <w:right w:val="single" w:color="auto" w:sz="4" w:space="0"/>
            </w:tcBorders>
            <w:vAlign w:val="center"/>
          </w:tcPr>
          <w:p w14:paraId="79D0EEE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建设绿色能源应用示范园区</w:t>
            </w:r>
          </w:p>
        </w:tc>
        <w:tc>
          <w:tcPr>
            <w:tcW w:w="7009" w:type="dxa"/>
            <w:tcBorders>
              <w:left w:val="single" w:color="auto" w:sz="4" w:space="0"/>
            </w:tcBorders>
            <w:vAlign w:val="center"/>
          </w:tcPr>
          <w:p w14:paraId="5F6A30D1">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加速光伏规模化应用，重点推进物流港二期11.6万平方米屋顶分布式光伏电站建设，确保按期投运。提升园区清洁能源使用占比，显著降低年用电成本。创新共建与激励机制，推行“园区主导+企业协同”的光伏共建模式。创新“绿电认证+碳减排激励”机制，对使用绿电企业给予电费补贴、碳交易支持等倾斜政策。打造绿电溯源标杆，建立绿电溯源体系，为入驻企业提供国际认可绿色电力凭证。将园区打造成为东北地区物流园区绿色低碳转型可推广的示范样板。</w:t>
            </w:r>
          </w:p>
        </w:tc>
      </w:tr>
      <w:tr w14:paraId="20A20BB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90" w:hRule="atLeast"/>
          <w:jc w:val="center"/>
        </w:trPr>
        <w:tc>
          <w:tcPr>
            <w:tcW w:w="1276" w:type="dxa"/>
            <w:tcBorders>
              <w:right w:val="single" w:color="auto" w:sz="4" w:space="0"/>
            </w:tcBorders>
            <w:vAlign w:val="center"/>
          </w:tcPr>
          <w:p w14:paraId="2A78681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筑牢园区安全与创新基石</w:t>
            </w:r>
          </w:p>
        </w:tc>
        <w:tc>
          <w:tcPr>
            <w:tcW w:w="7009" w:type="dxa"/>
            <w:tcBorders>
              <w:left w:val="single" w:color="auto" w:sz="4" w:space="0"/>
            </w:tcBorders>
            <w:vAlign w:val="center"/>
          </w:tcPr>
          <w:p w14:paraId="683DA9A5">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构建全方位网络安全与数据安全防护体系（防火墙、入侵检测、数据加密备份）；建设数字创意孵化平台，提供一站式创业服务，促进数字创意与主导产业深度融合；深化政企校研合作，积极构建政企合作机制，争取政策与试点支持。促进产学研协同创新，组织</w:t>
            </w:r>
            <w:r>
              <w:rPr>
                <w:rFonts w:hint="eastAsia" w:ascii="Times New Roman" w:hAnsi="Times New Roman" w:eastAsia="宋体" w:cs="Times New Roman"/>
                <w:color w:val="000000"/>
                <w:sz w:val="24"/>
                <w:szCs w:val="24"/>
                <w:highlight w:val="none"/>
                <w:u w:val="none"/>
                <w:lang w:val="en-US" w:eastAsia="zh-CN"/>
              </w:rPr>
              <w:t>企业</w:t>
            </w:r>
            <w:r>
              <w:rPr>
                <w:rFonts w:hint="default" w:ascii="Times New Roman" w:hAnsi="Times New Roman" w:eastAsia="宋体" w:cs="Times New Roman"/>
                <w:color w:val="000000"/>
                <w:sz w:val="24"/>
                <w:szCs w:val="24"/>
                <w:highlight w:val="none"/>
                <w:u w:val="none"/>
              </w:rPr>
              <w:t>与大学大院大所结对共建，推动建立科技创新攻关合作关系，用好选派的科技总师，解决企业发展科技难题，将园区企业作为大学大院大所的成果转化基地，加速技术创新与成果转化，增强产业承载力和可持续发展能力。</w:t>
            </w:r>
          </w:p>
        </w:tc>
      </w:tr>
      <w:tr w14:paraId="32F69A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514" w:hRule="atLeast"/>
          <w:jc w:val="center"/>
        </w:trPr>
        <w:tc>
          <w:tcPr>
            <w:tcW w:w="1276" w:type="dxa"/>
            <w:tcBorders>
              <w:right w:val="single" w:color="auto" w:sz="4" w:space="0"/>
            </w:tcBorders>
            <w:vAlign w:val="center"/>
          </w:tcPr>
          <w:p w14:paraId="03A9219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构建园区中心职能体系</w:t>
            </w:r>
          </w:p>
        </w:tc>
        <w:tc>
          <w:tcPr>
            <w:tcW w:w="7009" w:type="dxa"/>
            <w:tcBorders>
              <w:left w:val="single" w:color="auto" w:sz="4" w:space="0"/>
            </w:tcBorders>
            <w:vAlign w:val="center"/>
          </w:tcPr>
          <w:p w14:paraId="0A7B303F">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坚持去行政化改革方向，突出主责主业、经济功能定位，推动园区中心向战略引领和资源配置的核心职能转变，梳理权责事项，明确职责边界，整合归并内设机构，实行“大部门制”管理，构建“4+3”架构，即：经济发展、规划建设、投资促进、营商环境四大核心部门+党政综合、财政金融、社会事务三大保障部门，统筹经济发展、投资促进、科技创新、服务保障等职能，提高整体运营效率。</w:t>
            </w:r>
          </w:p>
        </w:tc>
      </w:tr>
      <w:tr w14:paraId="3930BAD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40" w:hRule="atLeast"/>
          <w:jc w:val="center"/>
        </w:trPr>
        <w:tc>
          <w:tcPr>
            <w:tcW w:w="1276" w:type="dxa"/>
            <w:tcBorders>
              <w:right w:val="single" w:color="auto" w:sz="4" w:space="0"/>
            </w:tcBorders>
            <w:vAlign w:val="center"/>
          </w:tcPr>
          <w:p w14:paraId="399DBA56">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市场化运营平台建设</w:t>
            </w:r>
          </w:p>
        </w:tc>
        <w:tc>
          <w:tcPr>
            <w:tcW w:w="7009" w:type="dxa"/>
            <w:tcBorders>
              <w:left w:val="single" w:color="auto" w:sz="4" w:space="0"/>
            </w:tcBorders>
            <w:vAlign w:val="center"/>
          </w:tcPr>
          <w:p w14:paraId="7302457D">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动园区平台公司向市场化、专业化方向转型升级，改革初期设立多家承担单一功能的专业化平台公司，将开发区资源和业务进行平行运作。构建“招、融、建、服”服务架构，高质量构建招商引资、融资建设、项目建设和运营服务等环节的服务架构，形成完整的服务链条。灵活组建产业招商、开发建设、运营服务等公司，形成分工明确、协同高效的专业化业务板块。</w:t>
            </w:r>
          </w:p>
        </w:tc>
      </w:tr>
    </w:tbl>
    <w:p w14:paraId="66949B8F">
      <w:pPr>
        <w:rPr>
          <w:rFonts w:hint="default" w:ascii="Times New Roman" w:hAnsi="Times New Roman" w:eastAsia="方正小标宋简体" w:cs="Times New Roman"/>
          <w:b w:val="0"/>
          <w:bCs/>
          <w:sz w:val="32"/>
          <w:szCs w:val="32"/>
          <w:highlight w:val="none"/>
          <w:u w:val="none"/>
          <w:lang w:val="zh-CN"/>
        </w:rPr>
      </w:pPr>
      <w:bookmarkStart w:id="37" w:name="_Toc216985860"/>
      <w:r>
        <w:rPr>
          <w:rFonts w:hint="default" w:ascii="Times New Roman" w:hAnsi="Times New Roman" w:eastAsia="方正小标宋简体" w:cs="Times New Roman"/>
          <w:b w:val="0"/>
          <w:bCs/>
          <w:sz w:val="32"/>
          <w:szCs w:val="32"/>
          <w:highlight w:val="none"/>
          <w:u w:val="none"/>
          <w:lang w:val="zh-CN"/>
        </w:rPr>
        <w:br w:type="page"/>
      </w:r>
    </w:p>
    <w:p w14:paraId="2C471809">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r>
        <w:rPr>
          <w:rFonts w:hint="default" w:ascii="Times New Roman" w:hAnsi="Times New Roman" w:eastAsia="方正小标宋简体" w:cs="Times New Roman"/>
          <w:b w:val="0"/>
          <w:bCs/>
          <w:sz w:val="32"/>
          <w:szCs w:val="32"/>
          <w:highlight w:val="none"/>
          <w:u w:val="none"/>
          <w:lang w:val="zh-CN"/>
        </w:rPr>
        <w:t>第四章 积极发展现代服务产业，推动经济转型升级</w:t>
      </w:r>
      <w:bookmarkEnd w:id="37"/>
    </w:p>
    <w:p w14:paraId="12BD317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顺应产业升级和消费升级趋势，推动生产性服务业向专业化、数字化和价值链高端延伸，生活性服务业向高品质和多样化升级，着力构建面向未来的优质高效服务业新体系。</w:t>
      </w:r>
    </w:p>
    <w:p w14:paraId="756CEDAD">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38" w:name="_Toc216985861"/>
      <w:r>
        <w:rPr>
          <w:rFonts w:hint="default" w:ascii="Times New Roman" w:hAnsi="Times New Roman" w:eastAsia="黑体" w:cs="Times New Roman"/>
          <w:b w:val="0"/>
          <w:bCs w:val="0"/>
          <w:highlight w:val="none"/>
          <w:u w:val="none"/>
          <w:lang w:val="zh-CN"/>
        </w:rPr>
        <w:t>一、推动现代商贸流通体系建设</w:t>
      </w:r>
      <w:bookmarkEnd w:id="38"/>
    </w:p>
    <w:p w14:paraId="2DA708E0">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优化商贸流通网络布局。</w:t>
      </w:r>
      <w:r>
        <w:rPr>
          <w:rFonts w:hint="default" w:ascii="Times New Roman" w:hAnsi="Times New Roman" w:eastAsia="仿宋_GB2312" w:cs="Times New Roman"/>
          <w:sz w:val="32"/>
          <w:szCs w:val="32"/>
          <w:highlight w:val="none"/>
          <w:u w:val="none"/>
        </w:rPr>
        <w:t>科学规划全区商业网点，强化中心城区核心商圈功能，巩固提升郊区汽车销售集聚区能级，打造支柱型消费产业。促进城乡融合发展，全域推进城市一刻钟便民生活圈建设，畅通经济“微循环”。升级改造一批乡镇商贸中心、集贸市场。支持全国性、区域性农产品产地、集散地、批发市场、农产品冷链物流，以及服务大型城市的仓储配送中心等公共物流配送中心建设和改造。发挥供销社渠道优势，完善城乡配送投递设施建设，发展建设统一分拨中转的公共配送中心，鼓励发展共同配送等新模式。</w:t>
      </w:r>
      <w:r>
        <w:rPr>
          <w:rFonts w:hint="default" w:ascii="Times New Roman" w:hAnsi="Times New Roman" w:eastAsia="仿宋_GB2312" w:cs="Times New Roman"/>
          <w:kern w:val="2"/>
          <w:sz w:val="32"/>
          <w:szCs w:val="32"/>
          <w:highlight w:val="none"/>
          <w:u w:val="none"/>
          <w:lang w:val="en-US" w:eastAsia="zh-CN" w:bidi="ar-SA"/>
        </w:rPr>
        <w:t>简化农副产品进入社区的流通流程，完善物流配送、质量溯源等配套服务。</w:t>
      </w:r>
      <w:r>
        <w:rPr>
          <w:rFonts w:hint="default" w:ascii="Times New Roman" w:hAnsi="Times New Roman" w:eastAsia="仿宋_GB2312" w:cs="Times New Roman"/>
          <w:color w:val="000000"/>
          <w:sz w:val="32"/>
          <w:szCs w:val="32"/>
          <w:highlight w:val="none"/>
          <w:u w:val="none"/>
        </w:rPr>
        <w:t>加强粮食物资储备建设，引导粮食仓储企业和粮食加工企业扩大生产规模，提升原粮转化成品粮效能，指导国有粮库加快秋粮收购入库进度，</w:t>
      </w:r>
      <w:r>
        <w:rPr>
          <w:rFonts w:hint="default" w:ascii="Times New Roman" w:hAnsi="Times New Roman" w:eastAsia="仿宋_GB2312" w:cs="Times New Roman"/>
          <w:color w:val="000000"/>
          <w:sz w:val="32"/>
          <w:szCs w:val="32"/>
          <w:highlight w:val="none"/>
          <w:u w:val="none"/>
          <w:lang w:val="en-US" w:eastAsia="zh-CN"/>
        </w:rPr>
        <w:t>实现</w:t>
      </w:r>
      <w:r>
        <w:rPr>
          <w:rFonts w:hint="default" w:ascii="Times New Roman" w:hAnsi="Times New Roman" w:eastAsia="仿宋_GB2312" w:cs="Times New Roman"/>
          <w:color w:val="000000"/>
          <w:sz w:val="32"/>
          <w:szCs w:val="32"/>
          <w:highlight w:val="none"/>
          <w:u w:val="none"/>
        </w:rPr>
        <w:t>科学保管，确保粮食安全。</w:t>
      </w:r>
    </w:p>
    <w:p w14:paraId="66BEC89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强化物流枢纽载体功能。</w:t>
      </w:r>
      <w:r>
        <w:rPr>
          <w:rFonts w:hint="default" w:ascii="Times New Roman" w:hAnsi="Times New Roman" w:eastAsia="仿宋_GB2312" w:cs="Times New Roman"/>
          <w:sz w:val="32"/>
          <w:szCs w:val="32"/>
          <w:highlight w:val="none"/>
          <w:u w:val="none"/>
        </w:rPr>
        <w:t>加快万兴智慧冷链产业园</w:t>
      </w:r>
      <w:r>
        <w:rPr>
          <w:rFonts w:hint="eastAsia" w:ascii="Times New Roman" w:hAnsi="Times New Roman" w:eastAsia="仿宋_GB2312" w:cs="Times New Roman"/>
          <w:sz w:val="32"/>
          <w:szCs w:val="32"/>
          <w:highlight w:val="none"/>
          <w:u w:val="none"/>
          <w:lang w:val="en-US" w:eastAsia="zh-CN"/>
        </w:rPr>
        <w:t>项目</w:t>
      </w:r>
      <w:r>
        <w:rPr>
          <w:rFonts w:hint="default" w:ascii="Times New Roman" w:hAnsi="Times New Roman" w:eastAsia="仿宋_GB2312" w:cs="Times New Roman"/>
          <w:sz w:val="32"/>
          <w:szCs w:val="32"/>
          <w:highlight w:val="none"/>
          <w:u w:val="none"/>
        </w:rPr>
        <w:t>建设，科学布局仓储分拨、流通加工功能区，新增自动化分拣设备与智能仓储系统，实现货物处理能力提升50%。依托佳木斯国际物流港，强化加工生产、仓储、信息配载等核心功能，打造数字化、绿色化、标准化、区域化、多样化的“五化”智慧物流枢纽</w:t>
      </w:r>
      <w:r>
        <w:rPr>
          <w:rFonts w:hint="default"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eastAsia="zh-CN"/>
        </w:rPr>
        <w:t>更好地服务</w:t>
      </w:r>
      <w:r>
        <w:rPr>
          <w:rFonts w:hint="default" w:ascii="Times New Roman" w:hAnsi="Times New Roman" w:eastAsia="仿宋_GB2312" w:cs="Times New Roman"/>
          <w:sz w:val="32"/>
          <w:szCs w:val="32"/>
          <w:highlight w:val="none"/>
          <w:u w:val="none"/>
          <w:lang w:val="en-US" w:eastAsia="zh-CN"/>
        </w:rPr>
        <w:t>佳木斯市</w:t>
      </w:r>
      <w:r>
        <w:rPr>
          <w:rFonts w:hint="default" w:ascii="Times New Roman" w:hAnsi="Times New Roman" w:eastAsia="仿宋_GB2312" w:cs="Times New Roman"/>
          <w:sz w:val="32"/>
          <w:szCs w:val="32"/>
          <w:highlight w:val="none"/>
          <w:u w:val="none"/>
        </w:rPr>
        <w:t>陆港型国家物流枢纽重要支撑地</w:t>
      </w:r>
      <w:r>
        <w:rPr>
          <w:rFonts w:hint="default" w:ascii="Times New Roman" w:hAnsi="Times New Roman" w:eastAsia="仿宋_GB2312" w:cs="Times New Roman"/>
          <w:sz w:val="32"/>
          <w:szCs w:val="32"/>
          <w:highlight w:val="none"/>
          <w:u w:val="none"/>
          <w:lang w:val="en-US" w:eastAsia="zh-CN"/>
        </w:rPr>
        <w:t>建设。</w:t>
      </w:r>
      <w:r>
        <w:rPr>
          <w:rFonts w:hint="default" w:ascii="Times New Roman" w:hAnsi="Times New Roman" w:eastAsia="仿宋_GB2312" w:cs="Times New Roman"/>
          <w:sz w:val="32"/>
          <w:szCs w:val="32"/>
          <w:highlight w:val="none"/>
          <w:u w:val="none"/>
        </w:rPr>
        <w:t>加快推动国际物流港二期项目建设</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引入跨境电商配套服务，联动浙江必创产业园，构建“仓储+分拣+通关+配送”一体化体系</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积极开通至俄罗斯符拉迪沃斯托克跨境货运专线，提升国际物流服务能力。</w:t>
      </w:r>
    </w:p>
    <w:p w14:paraId="650DBC3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加快建设现代化冷链枢纽。</w:t>
      </w:r>
      <w:r>
        <w:rPr>
          <w:rFonts w:hint="default" w:ascii="Times New Roman" w:hAnsi="Times New Roman" w:eastAsia="仿宋_GB2312" w:cs="Times New Roman"/>
          <w:sz w:val="32"/>
          <w:szCs w:val="32"/>
          <w:highlight w:val="none"/>
          <w:u w:val="none"/>
        </w:rPr>
        <w:t>依托区位交通优势，持续加大冷链物流中心建设，配置多温区仓储库（-25℃至4℃）、全程温控物联网系统及新能源冷藏车队，形成高标准冷链基础设施网络。拓展全链条服务能力，覆盖产地预冷、冷链仓储、干线运输到城市配送的全程温控服务，重点保障生鲜农产品、医药等高附加值商品品质，满足年均增长20%的冷链需求。推动冷链数智化升级，应用区块链技术建立全流程可追溯体系，增强服务可靠性，开拓高端冷链市场。</w:t>
      </w:r>
    </w:p>
    <w:p w14:paraId="41DD0C80">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推动绿色智慧物流。</w:t>
      </w:r>
      <w:r>
        <w:rPr>
          <w:rFonts w:hint="default" w:ascii="Times New Roman" w:hAnsi="Times New Roman" w:eastAsia="仿宋_GB2312" w:cs="Times New Roman"/>
          <w:sz w:val="32"/>
          <w:szCs w:val="32"/>
          <w:highlight w:val="none"/>
          <w:u w:val="none"/>
        </w:rPr>
        <w:t>构建低碳物流体系，推广新能源物流车辆应用，在园区及主干道布局充换电设施，力争新能源车辆占比达30%。实施“光伏+仓储”模式，建设屋顶太阳能发电系统，降低仓储能耗。打造智慧物流平台，整合车货匹配、路径优化、电子签收等功能，建立区域物流公共信息平台，实现全流程数字化管理。</w:t>
      </w:r>
    </w:p>
    <w:p w14:paraId="02797E1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发展电子商务产业。</w:t>
      </w:r>
      <w:r>
        <w:rPr>
          <w:rFonts w:hint="default" w:ascii="Times New Roman" w:hAnsi="Times New Roman" w:eastAsia="仿宋_GB2312" w:cs="Times New Roman"/>
          <w:b w:val="0"/>
          <w:bCs/>
          <w:sz w:val="32"/>
          <w:szCs w:val="32"/>
          <w:highlight w:val="none"/>
          <w:u w:val="none"/>
        </w:rPr>
        <w:t>加大</w:t>
      </w:r>
      <w:r>
        <w:rPr>
          <w:rFonts w:hint="default" w:ascii="Times New Roman" w:hAnsi="Times New Roman" w:eastAsia="仿宋_GB2312" w:cs="Times New Roman"/>
          <w:bCs/>
          <w:sz w:val="32"/>
          <w:szCs w:val="32"/>
          <w:highlight w:val="none"/>
          <w:u w:val="none"/>
        </w:rPr>
        <w:t>电商企业扶持力度，通过政府购买服务方式，搭建技术培训、业务指导、配套设施等电商服务体系。</w:t>
      </w:r>
      <w:r>
        <w:rPr>
          <w:rFonts w:hint="default" w:ascii="Times New Roman" w:hAnsi="Times New Roman" w:eastAsia="仿宋_GB2312" w:cs="Times New Roman"/>
          <w:sz w:val="32"/>
          <w:szCs w:val="32"/>
          <w:highlight w:val="none"/>
          <w:u w:val="none"/>
        </w:rPr>
        <w:t>积极发展农村电商，推进农产品电子商务平台和乡村电商服务站点建设，携手“淘鲜达”等电商平台，推出线上专属优惠、直播带货等活动，加速线上流量向线下实体转化。发展跨境电商，依托佳木斯数字创意产业园，积极协同市商务局创建国家级跨境电商综合试验区，建立集代理报关、结汇、仓储物流为一体的跨境电子商务平台。鼓励传统外贸企业利用跨境电商模式转型升级，引导传统内贸企业、个体工商户、合作社、电商服务企业拓展跨境电商业务。</w:t>
      </w:r>
    </w:p>
    <w:tbl>
      <w:tblPr>
        <w:tblStyle w:val="30"/>
        <w:tblW w:w="878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530"/>
        <w:gridCol w:w="7250"/>
      </w:tblGrid>
      <w:tr w14:paraId="4766467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3" w:hRule="atLeast"/>
          <w:jc w:val="center"/>
        </w:trPr>
        <w:tc>
          <w:tcPr>
            <w:tcW w:w="8780" w:type="dxa"/>
            <w:gridSpan w:val="2"/>
            <w:tcBorders>
              <w:top w:val="single" w:color="auto" w:sz="12" w:space="0"/>
            </w:tcBorders>
            <w:vAlign w:val="center"/>
          </w:tcPr>
          <w:p w14:paraId="72DA34ED">
            <w:pPr>
              <w:spacing w:line="320" w:lineRule="exact"/>
              <w:jc w:val="center"/>
              <w:rPr>
                <w:rFonts w:hint="default" w:ascii="Times New Roman" w:hAnsi="Times New Roman" w:cs="Times New Roman"/>
                <w:b/>
                <w:bCs/>
                <w:color w:val="000000"/>
                <w:sz w:val="24"/>
                <w:szCs w:val="24"/>
                <w:highlight w:val="none"/>
                <w:u w:val="none"/>
              </w:rPr>
            </w:pPr>
            <w:bookmarkStart w:id="39" w:name="OLE_LINK18"/>
            <w:r>
              <w:rPr>
                <w:rFonts w:hint="default" w:ascii="Times New Roman" w:hAnsi="Times New Roman" w:eastAsia="宋体" w:cs="Times New Roman"/>
                <w:b/>
                <w:bCs/>
                <w:color w:val="000000"/>
                <w:sz w:val="24"/>
                <w:szCs w:val="28"/>
                <w:highlight w:val="none"/>
                <w:u w:val="none"/>
              </w:rPr>
              <w:t>专栏7 现代商贸物流重大工程项目</w:t>
            </w:r>
          </w:p>
        </w:tc>
      </w:tr>
      <w:tr w14:paraId="2E01E3D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08" w:hRule="atLeast"/>
          <w:jc w:val="center"/>
        </w:trPr>
        <w:tc>
          <w:tcPr>
            <w:tcW w:w="1530" w:type="dxa"/>
            <w:tcBorders>
              <w:right w:val="single" w:color="auto" w:sz="4" w:space="0"/>
            </w:tcBorders>
            <w:vAlign w:val="center"/>
          </w:tcPr>
          <w:p w14:paraId="7BDA1BF1">
            <w:pPr>
              <w:pStyle w:val="73"/>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领域</w:t>
            </w:r>
          </w:p>
        </w:tc>
        <w:tc>
          <w:tcPr>
            <w:tcW w:w="7250" w:type="dxa"/>
            <w:tcBorders>
              <w:left w:val="single" w:color="auto" w:sz="4" w:space="0"/>
            </w:tcBorders>
            <w:vAlign w:val="center"/>
          </w:tcPr>
          <w:p w14:paraId="26E9E559">
            <w:pPr>
              <w:pStyle w:val="73"/>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重点内容</w:t>
            </w:r>
          </w:p>
        </w:tc>
      </w:tr>
      <w:tr w14:paraId="16C2D5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72" w:hRule="atLeast"/>
          <w:jc w:val="center"/>
        </w:trPr>
        <w:tc>
          <w:tcPr>
            <w:tcW w:w="1530" w:type="dxa"/>
            <w:tcBorders>
              <w:right w:val="single" w:color="auto" w:sz="4" w:space="0"/>
            </w:tcBorders>
            <w:vAlign w:val="center"/>
          </w:tcPr>
          <w:p w14:paraId="51EF88EC">
            <w:pPr>
              <w:pStyle w:val="73"/>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商贸</w:t>
            </w:r>
          </w:p>
        </w:tc>
        <w:tc>
          <w:tcPr>
            <w:tcW w:w="7250" w:type="dxa"/>
            <w:tcBorders>
              <w:left w:val="single" w:color="auto" w:sz="4" w:space="0"/>
            </w:tcBorders>
            <w:vAlign w:val="center"/>
          </w:tcPr>
          <w:p w14:paraId="7DABF856">
            <w:pPr>
              <w:pStyle w:val="73"/>
              <w:spacing w:line="320" w:lineRule="exact"/>
              <w:jc w:val="both"/>
              <w:rPr>
                <w:rFonts w:hint="default" w:ascii="Times New Roman" w:hAnsi="Times New Roman" w:cs="Times New Roman"/>
                <w:color w:val="000000"/>
                <w:sz w:val="24"/>
                <w:szCs w:val="24"/>
                <w:highlight w:val="none"/>
                <w:u w:val="none"/>
              </w:rPr>
            </w:pPr>
            <w:r>
              <w:rPr>
                <w:rFonts w:hint="default" w:ascii="Times New Roman" w:hAnsi="Times New Roman" w:cs="Times New Roman"/>
                <w:color w:val="000000"/>
                <w:sz w:val="24"/>
                <w:szCs w:val="24"/>
                <w:highlight w:val="none"/>
                <w:u w:val="none"/>
              </w:rPr>
              <w:t>重点实施沿江镇农产品集货中心、黑龙江中咖商贸有限公司咖啡烘焙储运贸易建设项目等。</w:t>
            </w:r>
          </w:p>
        </w:tc>
      </w:tr>
      <w:tr w14:paraId="3E4FF1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49" w:hRule="atLeast"/>
          <w:jc w:val="center"/>
        </w:trPr>
        <w:tc>
          <w:tcPr>
            <w:tcW w:w="1530" w:type="dxa"/>
            <w:tcBorders>
              <w:right w:val="single" w:color="auto" w:sz="4" w:space="0"/>
            </w:tcBorders>
            <w:vAlign w:val="center"/>
          </w:tcPr>
          <w:p w14:paraId="31D21BE0">
            <w:pPr>
              <w:pStyle w:val="73"/>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物流仓储</w:t>
            </w:r>
          </w:p>
        </w:tc>
        <w:tc>
          <w:tcPr>
            <w:tcW w:w="7250" w:type="dxa"/>
            <w:tcBorders>
              <w:left w:val="single" w:color="auto" w:sz="4" w:space="0"/>
            </w:tcBorders>
            <w:vAlign w:val="center"/>
          </w:tcPr>
          <w:p w14:paraId="064996FB">
            <w:pPr>
              <w:pStyle w:val="73"/>
              <w:spacing w:line="320" w:lineRule="exact"/>
              <w:jc w:val="both"/>
              <w:rPr>
                <w:rFonts w:hint="default" w:ascii="Times New Roman" w:hAnsi="Times New Roman" w:cs="Times New Roman"/>
                <w:color w:val="000000"/>
                <w:sz w:val="24"/>
                <w:szCs w:val="24"/>
                <w:highlight w:val="none"/>
                <w:u w:val="none"/>
              </w:rPr>
            </w:pPr>
            <w:r>
              <w:rPr>
                <w:rFonts w:hint="default" w:ascii="Times New Roman" w:hAnsi="Times New Roman" w:cs="Times New Roman"/>
                <w:color w:val="000000"/>
                <w:sz w:val="24"/>
                <w:szCs w:val="24"/>
                <w:highlight w:val="none"/>
                <w:u w:val="none"/>
              </w:rPr>
              <w:t>重点实施龙江交投</w:t>
            </w:r>
            <w:r>
              <w:rPr>
                <w:rFonts w:hint="eastAsia" w:ascii="Times New Roman" w:hAnsi="Times New Roman" w:cs="Times New Roman"/>
                <w:color w:val="000000"/>
                <w:sz w:val="24"/>
                <w:szCs w:val="24"/>
                <w:highlight w:val="none"/>
                <w:u w:val="none"/>
                <w:lang w:val="en-US" w:eastAsia="zh-CN"/>
              </w:rPr>
              <w:t>佳木斯国际</w:t>
            </w:r>
            <w:r>
              <w:rPr>
                <w:rFonts w:hint="default" w:ascii="Times New Roman" w:hAnsi="Times New Roman" w:cs="Times New Roman"/>
                <w:color w:val="000000"/>
                <w:sz w:val="24"/>
                <w:szCs w:val="24"/>
                <w:highlight w:val="none"/>
                <w:u w:val="none"/>
              </w:rPr>
              <w:t>物流港</w:t>
            </w:r>
            <w:r>
              <w:rPr>
                <w:rFonts w:hint="eastAsia" w:ascii="Times New Roman" w:hAnsi="Times New Roman" w:cs="Times New Roman"/>
                <w:color w:val="000000"/>
                <w:sz w:val="24"/>
                <w:szCs w:val="24"/>
                <w:highlight w:val="none"/>
                <w:u w:val="none"/>
                <w:lang w:val="en-US" w:eastAsia="zh-CN"/>
              </w:rPr>
              <w:t>建设项目及二期建设项目</w:t>
            </w:r>
            <w:r>
              <w:rPr>
                <w:rFonts w:hint="default" w:ascii="Times New Roman" w:hAnsi="Times New Roman" w:cs="Times New Roman"/>
                <w:color w:val="000000"/>
                <w:sz w:val="24"/>
                <w:szCs w:val="24"/>
                <w:highlight w:val="none"/>
                <w:u w:val="none"/>
              </w:rPr>
              <w:t>、佳木斯市郊区冷链物流产业园项目、</w:t>
            </w:r>
            <w:r>
              <w:rPr>
                <w:rFonts w:hint="default" w:ascii="Times New Roman" w:hAnsi="Times New Roman" w:cs="Times New Roman"/>
                <w:bCs/>
                <w:color w:val="000000"/>
                <w:sz w:val="24"/>
                <w:szCs w:val="24"/>
                <w:highlight w:val="none"/>
                <w:u w:val="none"/>
              </w:rPr>
              <w:t>佳木斯市货车驿站建设项目、</w:t>
            </w:r>
            <w:r>
              <w:rPr>
                <w:rFonts w:hint="default" w:ascii="Times New Roman" w:hAnsi="Times New Roman" w:cs="Times New Roman"/>
                <w:color w:val="000000"/>
                <w:sz w:val="24"/>
                <w:szCs w:val="24"/>
                <w:highlight w:val="none"/>
                <w:u w:val="none"/>
              </w:rPr>
              <w:t>佳木斯市郊区粮丰粮食有限公司烘干塔项目</w:t>
            </w:r>
            <w:r>
              <w:rPr>
                <w:rFonts w:hint="eastAsia" w:ascii="Times New Roman" w:hAnsi="Times New Roman" w:cs="Times New Roman"/>
                <w:color w:val="000000"/>
                <w:sz w:val="24"/>
                <w:szCs w:val="24"/>
                <w:highlight w:val="none"/>
                <w:u w:val="none"/>
                <w:lang w:eastAsia="zh-CN"/>
              </w:rPr>
              <w:t>、公铁联运散粮运输物流项目、佳木斯市粮安地方储备粮有限责任公司新建高大平房仓项目</w:t>
            </w:r>
            <w:r>
              <w:rPr>
                <w:rFonts w:hint="default" w:ascii="Times New Roman" w:hAnsi="Times New Roman" w:cs="Times New Roman"/>
                <w:color w:val="000000"/>
                <w:sz w:val="24"/>
                <w:szCs w:val="24"/>
                <w:highlight w:val="none"/>
                <w:u w:val="none"/>
              </w:rPr>
              <w:t>等。</w:t>
            </w:r>
          </w:p>
        </w:tc>
      </w:tr>
      <w:tr w14:paraId="796C39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46" w:hRule="atLeast"/>
          <w:jc w:val="center"/>
        </w:trPr>
        <w:tc>
          <w:tcPr>
            <w:tcW w:w="1530" w:type="dxa"/>
            <w:tcBorders>
              <w:bottom w:val="single" w:color="auto" w:sz="12" w:space="0"/>
              <w:right w:val="single" w:color="auto" w:sz="4" w:space="0"/>
            </w:tcBorders>
            <w:vAlign w:val="center"/>
          </w:tcPr>
          <w:p w14:paraId="0D1CD279">
            <w:pPr>
              <w:pStyle w:val="73"/>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电子商务</w:t>
            </w:r>
          </w:p>
        </w:tc>
        <w:tc>
          <w:tcPr>
            <w:tcW w:w="7250" w:type="dxa"/>
            <w:tcBorders>
              <w:left w:val="single" w:color="auto" w:sz="4" w:space="0"/>
              <w:bottom w:val="single" w:color="auto" w:sz="12" w:space="0"/>
            </w:tcBorders>
            <w:vAlign w:val="center"/>
          </w:tcPr>
          <w:p w14:paraId="396530F2">
            <w:pPr>
              <w:pStyle w:val="73"/>
              <w:spacing w:line="320" w:lineRule="exact"/>
              <w:jc w:val="both"/>
              <w:rPr>
                <w:rFonts w:hint="default" w:ascii="Times New Roman" w:hAnsi="Times New Roman" w:cs="Times New Roman"/>
                <w:color w:val="000000"/>
                <w:sz w:val="24"/>
                <w:szCs w:val="24"/>
                <w:highlight w:val="none"/>
                <w:u w:val="none"/>
              </w:rPr>
            </w:pPr>
            <w:r>
              <w:rPr>
                <w:rFonts w:hint="default" w:ascii="Times New Roman" w:hAnsi="Times New Roman" w:cs="Times New Roman"/>
                <w:color w:val="000000"/>
                <w:sz w:val="24"/>
                <w:szCs w:val="24"/>
                <w:highlight w:val="none"/>
                <w:u w:val="none"/>
              </w:rPr>
              <w:t>重点实施跨境电商项目。</w:t>
            </w:r>
          </w:p>
        </w:tc>
      </w:tr>
      <w:bookmarkEnd w:id="39"/>
    </w:tbl>
    <w:p w14:paraId="3E99A799">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40" w:name="_Toc216985862"/>
      <w:r>
        <w:rPr>
          <w:rFonts w:hint="default" w:ascii="Times New Roman" w:hAnsi="Times New Roman" w:eastAsia="黑体" w:cs="Times New Roman"/>
          <w:b w:val="0"/>
          <w:bCs w:val="0"/>
          <w:highlight w:val="none"/>
          <w:u w:val="none"/>
          <w:lang w:val="zh-CN"/>
        </w:rPr>
        <w:t>二、创新发展金融服务业</w:t>
      </w:r>
      <w:bookmarkEnd w:id="40"/>
    </w:p>
    <w:p w14:paraId="7F7968CC">
      <w:pPr>
        <w:keepNext w:val="0"/>
        <w:keepLines w:val="0"/>
        <w:pageBreakBefore w:val="0"/>
        <w:widowControl w:val="0"/>
        <w:kinsoku/>
        <w:wordWrap/>
        <w:overflowPunct w:val="0"/>
        <w:topLinePunct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完善金</w:t>
      </w:r>
      <w:r>
        <w:rPr>
          <w:rFonts w:hint="default" w:ascii="Times New Roman" w:hAnsi="Times New Roman" w:eastAsia="仿宋_GB2312" w:cs="Times New Roman"/>
          <w:b/>
          <w:bCs w:val="0"/>
          <w:sz w:val="32"/>
          <w:szCs w:val="32"/>
          <w:highlight w:val="none"/>
          <w:u w:val="none"/>
        </w:rPr>
        <w:t>融服务</w:t>
      </w:r>
      <w:r>
        <w:rPr>
          <w:rFonts w:hint="default" w:ascii="Times New Roman" w:hAnsi="Times New Roman" w:eastAsia="仿宋_GB2312" w:cs="Times New Roman"/>
          <w:b/>
          <w:sz w:val="32"/>
          <w:szCs w:val="32"/>
          <w:highlight w:val="none"/>
          <w:u w:val="none"/>
        </w:rPr>
        <w:t>体系。</w:t>
      </w:r>
      <w:r>
        <w:rPr>
          <w:rFonts w:hint="default" w:ascii="Times New Roman" w:hAnsi="Times New Roman" w:eastAsia="仿宋_GB2312" w:cs="Times New Roman"/>
          <w:sz w:val="32"/>
          <w:szCs w:val="32"/>
          <w:highlight w:val="none"/>
          <w:u w:val="none"/>
        </w:rPr>
        <w:t>发展普惠性金融，积极引进股权投资、担保、保险公司、融资租赁等非银行金融机构，加快形成促进本地经济社会发展的直接融资支撑体系。发挥公共财政引导作用，推动银保合作，通过银保合作风险补偿资金，发展灵活多样的金融产品。拓宽中小企业融资渠道，搭建“政银企”常态化对接平台，每季度组织专项对接活动，推动银行开发“创业贷”“成长贷”“技改贷”等全生命周期产品。创新涉农金融模式，推广“农业供应链金融”“农产品订单质押贷”，扩大“保险+期货”覆盖范围至粮食种植、畜禽养殖全产业链。设立绿色信贷专项额度，支持新能源微电网、农业废弃物资源化利用项目，探索碳排放权质押融资模式。用足用好省市各类产业引导基金、股权投资基金，引导社会资本和金融资本积极参与产业发展。到2030年，力争新设立1</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2支产业引导基金。</w:t>
      </w:r>
    </w:p>
    <w:p w14:paraId="6C675227">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创新金融服务模式。</w:t>
      </w:r>
      <w:r>
        <w:rPr>
          <w:rFonts w:hint="default" w:ascii="Times New Roman" w:hAnsi="Times New Roman" w:eastAsia="仿宋_GB2312" w:cs="Times New Roman"/>
          <w:sz w:val="32"/>
          <w:szCs w:val="32"/>
          <w:highlight w:val="none"/>
          <w:u w:val="none"/>
        </w:rPr>
        <w:t>加快金融产品和服务方式创新，支持企业利用企业债、公司债、私募债、中期票据短期超短期融资券等直接融资工具。用好省级“政银企”对接平台</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深入实施民营企业梯度成长培育计划和小微企业成长工程，分层次推进</w:t>
      </w:r>
      <w:r>
        <w:rPr>
          <w:rFonts w:hint="eastAsia" w:ascii="Times New Roman" w:hAnsi="Times New Roman" w:eastAsia="仿宋_GB2312" w:cs="Times New Roman"/>
          <w:sz w:val="32"/>
          <w:szCs w:val="32"/>
          <w:highlight w:val="none"/>
          <w:u w:val="none"/>
          <w:lang w:eastAsia="zh-CN"/>
        </w:rPr>
        <w:t>“个转企、小升规、规改股、股上市”</w:t>
      </w:r>
      <w:r>
        <w:rPr>
          <w:rFonts w:hint="default" w:ascii="Times New Roman" w:hAnsi="Times New Roman" w:eastAsia="仿宋_GB2312" w:cs="Times New Roman"/>
          <w:sz w:val="32"/>
          <w:szCs w:val="32"/>
          <w:highlight w:val="none"/>
          <w:u w:val="none"/>
        </w:rPr>
        <w:t>，努力培育一批主业突出、核心竞争力强的民营集团和龙头企业。落实黑龙江省企业上市“紫丁香计划”，积极引导和推动</w:t>
      </w:r>
      <w:r>
        <w:rPr>
          <w:rFonts w:hint="eastAsia" w:ascii="Times New Roman" w:hAnsi="Times New Roman" w:eastAsia="仿宋_GB2312" w:cs="Times New Roman"/>
          <w:sz w:val="32"/>
          <w:szCs w:val="32"/>
          <w:highlight w:val="none"/>
          <w:u w:val="none"/>
          <w:lang w:val="en-US" w:eastAsia="zh-CN"/>
        </w:rPr>
        <w:t>优质</w:t>
      </w:r>
      <w:r>
        <w:rPr>
          <w:rFonts w:hint="default" w:ascii="Times New Roman" w:hAnsi="Times New Roman" w:eastAsia="仿宋_GB2312" w:cs="Times New Roman"/>
          <w:sz w:val="32"/>
          <w:szCs w:val="32"/>
          <w:highlight w:val="none"/>
          <w:u w:val="none"/>
        </w:rPr>
        <w:t>企业上市。支持金融机构开展跨境电商金融服务，积极参与国家外汇管理局跨境金融区块链服务平台应用试点。</w:t>
      </w:r>
    </w:p>
    <w:p w14:paraId="69B9C0E9">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bCs/>
          <w:sz w:val="32"/>
          <w:szCs w:val="32"/>
          <w:highlight w:val="none"/>
          <w:u w:val="none"/>
        </w:rPr>
        <w:t>强化产融协同。</w:t>
      </w:r>
      <w:r>
        <w:rPr>
          <w:rFonts w:hint="default" w:ascii="Times New Roman" w:hAnsi="Times New Roman" w:eastAsia="仿宋_GB2312" w:cs="Times New Roman"/>
          <w:sz w:val="32"/>
          <w:szCs w:val="32"/>
          <w:highlight w:val="none"/>
          <w:u w:val="none"/>
        </w:rPr>
        <w:t>协调金融机构推出“智能改造专项贷”，加大对人工智能、数字经济、生物育种等前沿科技领域以及重大科技项目的信贷投放力度，重点支持农机装备智能化改造、食品加工数字化升级等技术改造项目。开发“乡村旅游贷”“民宿经营贷”等特色金融产品，支持农家乐品质提升、非遗工坊标准化建设，探索农村集体经营性建设用地使用权抵押贷款模式，盘活乡村闲置资产，激活乡村旅游与农村消费市场。</w:t>
      </w:r>
    </w:p>
    <w:p w14:paraId="21D4CC79">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深化政银企合作。</w:t>
      </w:r>
      <w:r>
        <w:rPr>
          <w:rFonts w:hint="eastAsia" w:ascii="Times New Roman" w:hAnsi="Times New Roman" w:eastAsia="仿宋_GB2312" w:cs="Times New Roman"/>
          <w:sz w:val="32"/>
          <w:szCs w:val="32"/>
          <w:highlight w:val="none"/>
          <w:u w:val="none"/>
          <w:lang w:val="en-US" w:eastAsia="zh-CN"/>
        </w:rPr>
        <w:t>引导</w:t>
      </w:r>
      <w:r>
        <w:rPr>
          <w:rFonts w:hint="default" w:ascii="Times New Roman" w:hAnsi="Times New Roman" w:eastAsia="仿宋_GB2312" w:cs="Times New Roman"/>
          <w:sz w:val="32"/>
          <w:szCs w:val="32"/>
          <w:highlight w:val="none"/>
          <w:u w:val="none"/>
        </w:rPr>
        <w:t>银行</w:t>
      </w:r>
      <w:r>
        <w:rPr>
          <w:rFonts w:hint="eastAsia" w:ascii="Times New Roman" w:hAnsi="Times New Roman" w:eastAsia="仿宋_GB2312" w:cs="Times New Roman"/>
          <w:sz w:val="32"/>
          <w:szCs w:val="32"/>
          <w:highlight w:val="none"/>
          <w:u w:val="none"/>
          <w:lang w:val="en-US" w:eastAsia="zh-CN"/>
        </w:rPr>
        <w:t>实施</w:t>
      </w:r>
      <w:r>
        <w:rPr>
          <w:rFonts w:hint="default" w:ascii="Times New Roman" w:hAnsi="Times New Roman" w:eastAsia="仿宋_GB2312" w:cs="Times New Roman"/>
          <w:sz w:val="32"/>
          <w:szCs w:val="32"/>
          <w:highlight w:val="none"/>
          <w:u w:val="none"/>
        </w:rPr>
        <w:t>“线上快审快贷”，大幅度压缩企业平均获贷时间。推广“见贷即保”模式，联合担保机构对“白名单”企业实行“见贷即保”，降低担保门槛，提高授信成功率。鼓励通过“收购+改造”“债转股+产业导入”盘活闲置厂房、低效用地，引入文旅、康养、数字经济、文化创意等新业态。探索资产证券化，重点筛选水务、环境保护、交通运输等市场化程度高、公共服务需求较大、现金流稳定的项目，试点发行REITs基金，拓宽融资渠道。</w:t>
      </w:r>
    </w:p>
    <w:p w14:paraId="26005FD8">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积极防范金融风险。</w:t>
      </w:r>
      <w:r>
        <w:rPr>
          <w:rFonts w:hint="default" w:ascii="Times New Roman" w:hAnsi="Times New Roman" w:eastAsia="仿宋_GB2312" w:cs="Times New Roman"/>
          <w:sz w:val="32"/>
          <w:szCs w:val="32"/>
          <w:highlight w:val="none"/>
          <w:u w:val="none"/>
        </w:rPr>
        <w:t>建立“区政府+监管部门+行业协会”三方联动机制，定期排查非法集资、非法放贷风险。用好“信用中国”平台，建立“红黑名单”制度，实施联合惩戒。开展“金融下乡”宣传活动，提升农户、小微企业主风险防范意识。探索设立“不良资产处置基金”，通过债务重组、资产拍卖加快处置“僵尸企业”债务。</w:t>
      </w:r>
    </w:p>
    <w:p w14:paraId="0022B1F0">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41" w:name="_Toc216985863"/>
      <w:r>
        <w:rPr>
          <w:rFonts w:hint="default" w:ascii="Times New Roman" w:hAnsi="Times New Roman" w:eastAsia="黑体" w:cs="Times New Roman"/>
          <w:b w:val="0"/>
          <w:bCs w:val="0"/>
          <w:highlight w:val="none"/>
          <w:u w:val="none"/>
          <w:lang w:val="zh-CN"/>
        </w:rPr>
        <w:t>三、加快发展信息服务业</w:t>
      </w:r>
      <w:bookmarkEnd w:id="41"/>
    </w:p>
    <w:p w14:paraId="25EB122E">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支持工业互联网、物联网、大数据、云计算等新一代信息技术的普及和应用，提升信息服务供给能力和公共服务数字化水平。</w:t>
      </w:r>
    </w:p>
    <w:p w14:paraId="7183BE2A">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完善信息服务体系。</w:t>
      </w:r>
      <w:r>
        <w:rPr>
          <w:rFonts w:hint="default" w:ascii="Times New Roman" w:hAnsi="Times New Roman" w:eastAsia="仿宋_GB2312" w:cs="Times New Roman"/>
          <w:sz w:val="32"/>
          <w:szCs w:val="32"/>
          <w:highlight w:val="none"/>
          <w:u w:val="none"/>
        </w:rPr>
        <w:t>依托郊区气候寒冷、区位、科教资源等特点，围绕智能制造、智慧交通、智慧医疗、基础建设、产业支撑、场景赋能等方面，培育一批从事信息服务的企业，支持企业重点发展通信网络、政务信息化、工业信息化、互联网平台服务、数据挖掘、数据标注等领域业务，形成具有市场竞争力的智能应用解决方案。</w:t>
      </w:r>
    </w:p>
    <w:p w14:paraId="773C6FEF">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推进数据要素市场化建设。</w:t>
      </w:r>
      <w:r>
        <w:rPr>
          <w:rFonts w:hint="default" w:ascii="Times New Roman" w:hAnsi="Times New Roman" w:eastAsia="仿宋_GB2312" w:cs="Times New Roman"/>
          <w:sz w:val="32"/>
          <w:szCs w:val="32"/>
          <w:highlight w:val="none"/>
          <w:u w:val="none"/>
        </w:rPr>
        <w:t>推进全国一体化数据市场建设、促进公共数据资源的共享和利用，实现数据资源配置效率最优化和效益最大化。到2030年，软件开发与信息技术服务产业实现营业收入5亿元以上。</w:t>
      </w:r>
    </w:p>
    <w:p w14:paraId="0184577A">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42" w:name="_Toc216985864"/>
      <w:bookmarkStart w:id="43" w:name="_Hlk55421794"/>
      <w:r>
        <w:rPr>
          <w:rFonts w:hint="default" w:ascii="Times New Roman" w:hAnsi="Times New Roman" w:eastAsia="黑体" w:cs="Times New Roman"/>
          <w:b w:val="0"/>
          <w:bCs w:val="0"/>
          <w:highlight w:val="none"/>
          <w:u w:val="none"/>
          <w:lang w:val="zh-CN"/>
        </w:rPr>
        <w:t>四、积极培育新兴服务业</w:t>
      </w:r>
      <w:bookmarkEnd w:id="42"/>
    </w:p>
    <w:p w14:paraId="4D1C9FF0">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bCs/>
          <w:sz w:val="32"/>
          <w:szCs w:val="32"/>
          <w:highlight w:val="none"/>
          <w:u w:val="none"/>
        </w:rPr>
      </w:pPr>
      <w:bookmarkStart w:id="44" w:name="_Hlk53263616"/>
      <w:r>
        <w:rPr>
          <w:rFonts w:hint="default" w:ascii="Times New Roman" w:hAnsi="Times New Roman" w:eastAsia="仿宋_GB2312" w:cs="Times New Roman"/>
          <w:b/>
          <w:sz w:val="32"/>
          <w:szCs w:val="32"/>
          <w:highlight w:val="none"/>
          <w:u w:val="none"/>
        </w:rPr>
        <w:t>加快培育生产性服务。</w:t>
      </w:r>
      <w:r>
        <w:rPr>
          <w:rFonts w:hint="default" w:ascii="Times New Roman" w:hAnsi="Times New Roman" w:eastAsia="仿宋_GB2312" w:cs="Times New Roman"/>
          <w:bCs/>
          <w:sz w:val="32"/>
          <w:szCs w:val="32"/>
          <w:highlight w:val="none"/>
          <w:u w:val="none"/>
        </w:rPr>
        <w:t>围绕强化企业创新能力，加快发展研发设计、信息技术、检验检测认证、知识产权、科技金融、技术转移、创业孵化等服务。围绕强化制造业服务化转型要求，加快发展供应链管理、融资租赁、电子商务、服务外包等。围绕强化专业服务、满足市场需求，加快发展节能环保服务、商务咨询、售后服务、人力资源服务和品牌建设等服务。</w:t>
      </w:r>
    </w:p>
    <w:p w14:paraId="5E309201">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color w:val="FF0000"/>
          <w:sz w:val="32"/>
          <w:szCs w:val="32"/>
          <w:highlight w:val="none"/>
          <w:u w:val="none"/>
        </w:rPr>
      </w:pPr>
      <w:bookmarkStart w:id="45" w:name="_Hlk205933313"/>
      <w:r>
        <w:rPr>
          <w:rFonts w:hint="default" w:ascii="Times New Roman" w:hAnsi="Times New Roman" w:eastAsia="仿宋_GB2312" w:cs="Times New Roman"/>
          <w:b/>
          <w:sz w:val="32"/>
          <w:szCs w:val="32"/>
          <w:highlight w:val="none"/>
          <w:u w:val="none"/>
        </w:rPr>
        <w:t>加快发展商务服务。</w:t>
      </w:r>
      <w:r>
        <w:rPr>
          <w:rFonts w:hint="default" w:ascii="Times New Roman" w:hAnsi="Times New Roman" w:eastAsia="仿宋_GB2312" w:cs="Times New Roman"/>
          <w:sz w:val="32"/>
          <w:szCs w:val="32"/>
          <w:highlight w:val="none"/>
          <w:u w:val="none"/>
        </w:rPr>
        <w:t>鼓励引导社会资本积极发展财务、咨询、审计、法律、人力资源、广告营销、会展服务、市场调查等服务产业，</w:t>
      </w:r>
      <w:bookmarkEnd w:id="44"/>
      <w:r>
        <w:rPr>
          <w:rFonts w:hint="default" w:ascii="Times New Roman" w:hAnsi="Times New Roman" w:eastAsia="仿宋_GB2312" w:cs="Times New Roman"/>
          <w:sz w:val="32"/>
          <w:szCs w:val="32"/>
          <w:highlight w:val="none"/>
          <w:u w:val="none"/>
        </w:rPr>
        <w:t>满足全区各类商务服务需求。</w:t>
      </w:r>
      <w:bookmarkEnd w:id="43"/>
      <w:bookmarkEnd w:id="45"/>
      <w:r>
        <w:rPr>
          <w:rFonts w:hint="default" w:ascii="Times New Roman" w:hAnsi="Times New Roman" w:eastAsia="仿宋_GB2312" w:cs="Times New Roman"/>
          <w:sz w:val="32"/>
          <w:szCs w:val="32"/>
          <w:highlight w:val="none"/>
          <w:u w:val="none"/>
        </w:rPr>
        <w:t>支持发展科技咨询、风险投资、技术交易、融资担保、人才中介等咨询服务。</w:t>
      </w:r>
    </w:p>
    <w:p w14:paraId="085E112D">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积极发展服务型制造。</w:t>
      </w:r>
      <w:r>
        <w:rPr>
          <w:rFonts w:hint="default" w:ascii="Times New Roman" w:hAnsi="Times New Roman" w:eastAsia="仿宋_GB2312" w:cs="Times New Roman"/>
          <w:sz w:val="32"/>
          <w:szCs w:val="32"/>
          <w:highlight w:val="none"/>
          <w:u w:val="none"/>
        </w:rPr>
        <w:t>推动工业与互联网、服务业深度融合，鼓励企业开展需求驱动、柔性制造、供应链协同等个性化定制，发展协同设计、共享制造、分布式制造等新模式，支持企业发展设备预测性维护、装备能效优化、产品衍生服务等服务型制造。推进大豆、水稻、肉类加工等重点领域共享制造平台建设，把加工生产各环节各领域分散闲置的资源集聚起来，弹性匹配、动态共享给佳木斯周边相关加工领域需求方。</w:t>
      </w:r>
      <w:r>
        <w:rPr>
          <w:rFonts w:hint="eastAsia" w:ascii="Times New Roman" w:hAnsi="Times New Roman" w:eastAsia="仿宋_GB2312" w:cs="Times New Roman"/>
          <w:sz w:val="32"/>
          <w:szCs w:val="32"/>
          <w:highlight w:val="none"/>
          <w:u w:val="none"/>
          <w:lang w:val="en-US" w:eastAsia="zh-CN"/>
        </w:rPr>
        <w:t>支持</w:t>
      </w:r>
      <w:r>
        <w:rPr>
          <w:rFonts w:hint="default" w:ascii="Times New Roman" w:hAnsi="Times New Roman" w:eastAsia="仿宋_GB2312" w:cs="Times New Roman"/>
          <w:sz w:val="32"/>
          <w:szCs w:val="32"/>
          <w:highlight w:val="none"/>
          <w:u w:val="none"/>
        </w:rPr>
        <w:t>建设一批提供分时、计件、按价值计价等灵活服务的共享制造工厂，实现资源高效利用和价值共享。到2030年，形成20个左右服务型制造新模式应用试点示范，建设服务型制造重大项目30项以上。</w:t>
      </w:r>
    </w:p>
    <w:p w14:paraId="5E899697">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培育各类新模式、新业态。</w:t>
      </w:r>
      <w:bookmarkStart w:id="46" w:name="_Hlk205933330"/>
      <w:r>
        <w:rPr>
          <w:rFonts w:hint="default" w:ascii="Times New Roman" w:hAnsi="Times New Roman" w:eastAsia="仿宋_GB2312" w:cs="Times New Roman"/>
          <w:sz w:val="32"/>
          <w:szCs w:val="32"/>
          <w:highlight w:val="none"/>
          <w:u w:val="none"/>
        </w:rPr>
        <w:t>鼓励发展培训类新业态，扶持多元化人才培训、线上线下教育培训、主流创业培训等各类培训机构，形成培训与就业相融合的人才培训中心。扶持发展文化类新业态，扶持文化传媒、艺术设计、自媒体传媒等文化产业引领新的发展方向，形成更多的新业态。扶持创业创新、金融服务、旅游开发、商贸总部等传统业态与新业态紧密结合，提升网上网下、线上线下融合发展能力，推动服务消费市场转型升级。</w:t>
      </w:r>
      <w:bookmarkEnd w:id="46"/>
    </w:p>
    <w:p w14:paraId="6FAC2A89">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47" w:name="_Toc216985865"/>
      <w:bookmarkStart w:id="48" w:name="_Hlk55421780"/>
      <w:r>
        <w:rPr>
          <w:rFonts w:hint="default" w:ascii="Times New Roman" w:hAnsi="Times New Roman" w:eastAsia="黑体" w:cs="Times New Roman"/>
          <w:b w:val="0"/>
          <w:bCs w:val="0"/>
          <w:highlight w:val="none"/>
          <w:u w:val="none"/>
          <w:lang w:val="zh-CN"/>
        </w:rPr>
        <w:t>五、提升生活服务业发展质量</w:t>
      </w:r>
      <w:bookmarkEnd w:id="47"/>
    </w:p>
    <w:p w14:paraId="7E277D2C">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聚焦物业服务、家政服务、医疗护理、康复保健、健身养生等重点领域提质升级，加快构建与郊区发展定位相匹配的现代化服务体系。</w:t>
      </w:r>
    </w:p>
    <w:p w14:paraId="5172E64C">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强化基础服务提质升级。</w:t>
      </w:r>
      <w:r>
        <w:rPr>
          <w:rFonts w:hint="default" w:ascii="Times New Roman" w:hAnsi="Times New Roman" w:eastAsia="仿宋_GB2312" w:cs="Times New Roman"/>
          <w:sz w:val="32"/>
          <w:szCs w:val="32"/>
          <w:highlight w:val="none"/>
          <w:u w:val="none"/>
        </w:rPr>
        <w:t>适应城市发展要求和群众所需，着力搭建企业服务桥梁，提升商贸、餐饮、住宿、娱乐休闲等服务功能，完善各类生活服务供给体系。推动物业管理专业化、精细化转型，重点提升老旧小区、安置区物业服务覆盖率与管理水平。推动商圈提档升级，积极引进知名餐饮店、连锁酒店品牌等。</w:t>
      </w:r>
    </w:p>
    <w:p w14:paraId="39B69616">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深化社区服务功能。</w:t>
      </w:r>
      <w:r>
        <w:rPr>
          <w:rFonts w:hint="default" w:ascii="Times New Roman" w:hAnsi="Times New Roman" w:eastAsia="仿宋_GB2312" w:cs="Times New Roman"/>
          <w:sz w:val="32"/>
          <w:szCs w:val="32"/>
          <w:highlight w:val="none"/>
          <w:u w:val="none"/>
        </w:rPr>
        <w:t>针对郊区人口分布特点，推进社区基础设施补短板行动，重点完善巷道排水、供热管网等地下管廊改造，优化社区养老、托幼、助残等公共服务设施配套，打造“宜居宜业和美乡村”社区样板。深化“互联网+社区服务”模式，通过线上平台整合家政预约、医疗咨询等功能，线下依托“政商沙龙”收集需求，精准对接服务供给；结合就业帮扶政策，开展家政服务、健康管理师等技能培训，增强本地服务供给能力。</w:t>
      </w:r>
    </w:p>
    <w:p w14:paraId="092FC8F5">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拓展健康服务供给。</w:t>
      </w:r>
      <w:r>
        <w:rPr>
          <w:rFonts w:hint="default" w:ascii="Times New Roman" w:hAnsi="Times New Roman" w:eastAsia="仿宋_GB2312" w:cs="Times New Roman"/>
          <w:bCs/>
          <w:sz w:val="32"/>
          <w:szCs w:val="32"/>
          <w:highlight w:val="none"/>
          <w:u w:val="none"/>
        </w:rPr>
        <w:t>依托基层医疗机构、社区卫生服务网点等区内医疗卫生资源，</w:t>
      </w:r>
      <w:r>
        <w:rPr>
          <w:rFonts w:hint="default" w:ascii="Times New Roman" w:hAnsi="Times New Roman" w:eastAsia="仿宋_GB2312" w:cs="Times New Roman"/>
          <w:sz w:val="32"/>
          <w:szCs w:val="32"/>
          <w:highlight w:val="none"/>
          <w:u w:val="none"/>
        </w:rPr>
        <w:t>推动医疗咨询、健康管理服务向社区延伸；结合全民健身中心建设，推广科学健身指导、运动康复等服务；支持企业参与健康食品、功能性农产品研发，打造“健康+农业”特色服务链。</w:t>
      </w:r>
      <w:bookmarkEnd w:id="48"/>
    </w:p>
    <w:tbl>
      <w:tblPr>
        <w:tblStyle w:val="30"/>
        <w:tblW w:w="87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7217"/>
      </w:tblGrid>
      <w:tr w14:paraId="7FA4E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740" w:type="dxa"/>
            <w:gridSpan w:val="2"/>
            <w:vAlign w:val="center"/>
          </w:tcPr>
          <w:p w14:paraId="5724BD29">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eastAsia="宋体" w:cs="Times New Roman"/>
                <w:b/>
                <w:bCs/>
                <w:color w:val="000000"/>
                <w:sz w:val="24"/>
                <w:szCs w:val="28"/>
                <w:highlight w:val="none"/>
                <w:u w:val="none"/>
              </w:rPr>
              <w:t>专栏8 生活服务业重点工程项目</w:t>
            </w:r>
          </w:p>
        </w:tc>
      </w:tr>
      <w:tr w14:paraId="24032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3" w:type="dxa"/>
            <w:vAlign w:val="center"/>
          </w:tcPr>
          <w:p w14:paraId="501EADBD">
            <w:pPr>
              <w:pStyle w:val="73"/>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领域</w:t>
            </w:r>
          </w:p>
        </w:tc>
        <w:tc>
          <w:tcPr>
            <w:tcW w:w="7217" w:type="dxa"/>
            <w:vAlign w:val="center"/>
          </w:tcPr>
          <w:p w14:paraId="3FA707C1">
            <w:pPr>
              <w:pStyle w:val="73"/>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重点项目</w:t>
            </w:r>
          </w:p>
        </w:tc>
      </w:tr>
      <w:tr w14:paraId="2996E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3" w:type="dxa"/>
            <w:vAlign w:val="center"/>
          </w:tcPr>
          <w:p w14:paraId="337E6D6C">
            <w:pPr>
              <w:pStyle w:val="73"/>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社区服务</w:t>
            </w:r>
          </w:p>
        </w:tc>
        <w:tc>
          <w:tcPr>
            <w:tcW w:w="7217" w:type="dxa"/>
            <w:vAlign w:val="center"/>
          </w:tcPr>
          <w:p w14:paraId="5061EA30">
            <w:pPr>
              <w:pStyle w:val="73"/>
              <w:spacing w:line="320" w:lineRule="exact"/>
              <w:jc w:val="left"/>
              <w:rPr>
                <w:rFonts w:hint="default" w:ascii="Times New Roman" w:hAnsi="Times New Roman" w:eastAsia="仿宋_GB2312" w:cs="Times New Roman"/>
                <w:sz w:val="24"/>
                <w:szCs w:val="24"/>
                <w:highlight w:val="none"/>
                <w:u w:val="none"/>
              </w:rPr>
            </w:pPr>
            <w:r>
              <w:rPr>
                <w:rFonts w:hint="default" w:ascii="Times New Roman" w:hAnsi="Times New Roman" w:cs="Times New Roman"/>
                <w:sz w:val="24"/>
                <w:szCs w:val="24"/>
                <w:highlight w:val="none"/>
                <w:u w:val="none"/>
                <w:lang w:val="en-US" w:eastAsia="zh-CN"/>
              </w:rPr>
              <w:t>推进</w:t>
            </w:r>
            <w:r>
              <w:rPr>
                <w:rFonts w:hint="default" w:ascii="Times New Roman" w:hAnsi="Times New Roman" w:cs="Times New Roman"/>
                <w:sz w:val="24"/>
                <w:szCs w:val="24"/>
                <w:highlight w:val="none"/>
                <w:u w:val="none"/>
              </w:rPr>
              <w:t>宏大医院社区医养服务建设项目、佳西社区服务阵地提档升级改造等。</w:t>
            </w:r>
          </w:p>
        </w:tc>
      </w:tr>
      <w:tr w14:paraId="6D3FB0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523" w:type="dxa"/>
            <w:vAlign w:val="center"/>
          </w:tcPr>
          <w:p w14:paraId="5487C24E">
            <w:pPr>
              <w:pStyle w:val="73"/>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健康服务</w:t>
            </w:r>
          </w:p>
        </w:tc>
        <w:tc>
          <w:tcPr>
            <w:tcW w:w="7217" w:type="dxa"/>
            <w:vAlign w:val="center"/>
          </w:tcPr>
          <w:p w14:paraId="7735FD34">
            <w:pPr>
              <w:pStyle w:val="73"/>
              <w:spacing w:line="320" w:lineRule="exact"/>
              <w:jc w:val="left"/>
              <w:rPr>
                <w:rFonts w:hint="default" w:ascii="Times New Roman" w:hAnsi="Times New Roman" w:cs="Times New Roman"/>
                <w:sz w:val="24"/>
                <w:szCs w:val="24"/>
                <w:highlight w:val="none"/>
                <w:u w:val="none"/>
              </w:rPr>
            </w:pPr>
            <w:r>
              <w:rPr>
                <w:rFonts w:hint="default" w:ascii="Times New Roman" w:hAnsi="Times New Roman" w:cs="Times New Roman"/>
                <w:sz w:val="24"/>
                <w:szCs w:val="24"/>
                <w:highlight w:val="none"/>
                <w:u w:val="none"/>
                <w:lang w:val="en-US" w:eastAsia="zh-CN"/>
              </w:rPr>
              <w:t>推进</w:t>
            </w:r>
            <w:r>
              <w:rPr>
                <w:rFonts w:hint="default" w:ascii="Times New Roman" w:hAnsi="Times New Roman" w:cs="Times New Roman"/>
                <w:sz w:val="24"/>
                <w:szCs w:val="24"/>
                <w:highlight w:val="none"/>
                <w:u w:val="none"/>
              </w:rPr>
              <w:t>黑龙江省佳木斯市郊区康橙医养中心建设项目、佳木斯宏仁医养康结合项目、</w:t>
            </w:r>
            <w:r>
              <w:rPr>
                <w:rFonts w:hint="default" w:ascii="Times New Roman" w:hAnsi="Times New Roman" w:cs="Times New Roman"/>
                <w:color w:val="000000"/>
                <w:sz w:val="24"/>
                <w:szCs w:val="24"/>
                <w:highlight w:val="none"/>
                <w:u w:val="none"/>
              </w:rPr>
              <w:t>郊区医养结合服务设施建设项目</w:t>
            </w:r>
            <w:r>
              <w:rPr>
                <w:rFonts w:hint="default" w:ascii="Times New Roman" w:hAnsi="Times New Roman" w:cs="Times New Roman"/>
                <w:sz w:val="24"/>
                <w:szCs w:val="24"/>
                <w:highlight w:val="none"/>
                <w:u w:val="none"/>
              </w:rPr>
              <w:t>等。</w:t>
            </w:r>
          </w:p>
        </w:tc>
      </w:tr>
    </w:tbl>
    <w:p w14:paraId="026C6A35">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49" w:name="_Toc216985866"/>
      <w:bookmarkStart w:id="50" w:name="_Toc204589508"/>
      <w:bookmarkStart w:id="51" w:name="_Toc60605005"/>
      <w:bookmarkStart w:id="52" w:name="_Toc278613809"/>
      <w:bookmarkStart w:id="53" w:name="_Toc277683627"/>
      <w:bookmarkStart w:id="54" w:name="_Toc202609655"/>
      <w:bookmarkStart w:id="55" w:name="_Toc286647398"/>
      <w:bookmarkStart w:id="56" w:name="_Toc277687412"/>
      <w:r>
        <w:rPr>
          <w:rFonts w:hint="default" w:ascii="Times New Roman" w:hAnsi="Times New Roman" w:eastAsia="方正小标宋简体" w:cs="Times New Roman"/>
          <w:b w:val="0"/>
          <w:bCs/>
          <w:sz w:val="32"/>
          <w:szCs w:val="32"/>
          <w:highlight w:val="none"/>
          <w:u w:val="none"/>
          <w:lang w:val="zh-CN"/>
        </w:rPr>
        <w:t>第五章 实施创新驱动发展战略，建设创业创新活力郊区</w:t>
      </w:r>
      <w:bookmarkEnd w:id="49"/>
    </w:p>
    <w:p w14:paraId="1433317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把创新放在高质量发展和现代化建设的核心位置</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以深化科技体制改革为动力，以提升科技创新能力为主线，以培育新质生产力为重点，强化企业创新主体地位，激发创新创业活力，不断催生新发展动能。</w:t>
      </w:r>
      <w:bookmarkStart w:id="57" w:name="_Toc60605006"/>
    </w:p>
    <w:p w14:paraId="0AFCB31E">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58" w:name="_Toc216985867"/>
      <w:r>
        <w:rPr>
          <w:rFonts w:hint="default" w:ascii="Times New Roman" w:hAnsi="Times New Roman" w:eastAsia="黑体" w:cs="Times New Roman"/>
          <w:b w:val="0"/>
          <w:bCs w:val="0"/>
          <w:highlight w:val="none"/>
          <w:u w:val="none"/>
          <w:lang w:val="zh-CN"/>
        </w:rPr>
        <w:t>一、提升科技创新能力</w:t>
      </w:r>
      <w:bookmarkEnd w:id="58"/>
    </w:p>
    <w:bookmarkEnd w:id="57"/>
    <w:p w14:paraId="1B704212">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培育壮大科技型企业。</w:t>
      </w:r>
      <w:r>
        <w:rPr>
          <w:rFonts w:hint="default" w:ascii="Times New Roman" w:hAnsi="Times New Roman" w:eastAsia="仿宋_GB2312" w:cs="Times New Roman"/>
          <w:sz w:val="32"/>
          <w:szCs w:val="32"/>
          <w:highlight w:val="none"/>
          <w:u w:val="none"/>
        </w:rPr>
        <w:t>持续夯实企业创新主体地位，通过“研发投入补贴+高新技术企业奖励”的政策组合，推动创新要素向企业高效集聚</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到2030年，实现科技创新创业主体培育数量质量双提升，科技型中小企业数量达到30家</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，新认定高新技术企业5家</w:t>
      </w:r>
      <w:r>
        <w:rPr>
          <w:rFonts w:hint="eastAsia"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w:t>
      </w:r>
    </w:p>
    <w:p w14:paraId="3CA35A8C">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加快核心技术攻关能力。</w:t>
      </w:r>
      <w:r>
        <w:rPr>
          <w:rFonts w:hint="default" w:ascii="Times New Roman" w:hAnsi="Times New Roman" w:eastAsia="仿宋_GB2312" w:cs="Times New Roman"/>
          <w:sz w:val="32"/>
          <w:szCs w:val="32"/>
          <w:highlight w:val="none"/>
          <w:u w:val="none"/>
        </w:rPr>
        <w:t>聚焦农业装备与种业创新两大关键领域，实施技术攻坚行动。加快骥驰电驱动无级变速混动拖拉机核心、电混驱动技术和整机研发项目</w:t>
      </w:r>
      <w:r>
        <w:rPr>
          <w:rFonts w:hint="eastAsia" w:ascii="Times New Roman" w:hAnsi="Times New Roman" w:eastAsia="仿宋_GB2312" w:cs="Times New Roman"/>
          <w:sz w:val="32"/>
          <w:szCs w:val="32"/>
          <w:highlight w:val="none"/>
          <w:u w:val="none"/>
          <w:lang w:val="en-US" w:eastAsia="zh-CN"/>
        </w:rPr>
        <w:t>等</w:t>
      </w:r>
      <w:r>
        <w:rPr>
          <w:rFonts w:hint="default" w:ascii="Times New Roman" w:hAnsi="Times New Roman" w:eastAsia="仿宋_GB2312" w:cs="Times New Roman"/>
          <w:sz w:val="32"/>
          <w:szCs w:val="32"/>
          <w:highlight w:val="none"/>
          <w:u w:val="none"/>
        </w:rPr>
        <w:t>落地投产，推动农机装备向“电动化+智能化”转型升级</w:t>
      </w:r>
      <w:r>
        <w:rPr>
          <w:rFonts w:hint="default" w:ascii="Times New Roman" w:hAnsi="Times New Roman" w:eastAsia="仿宋_GB2312" w:cs="Times New Roman"/>
          <w:sz w:val="32"/>
          <w:szCs w:val="32"/>
          <w:highlight w:val="none"/>
          <w:u w:val="none"/>
          <w:lang w:eastAsia="zh-CN"/>
        </w:rPr>
        <w:t>。创新解决国产400马力轮式拖拉机在双电机混联式混动系统控制方法、拖拉机与配套农具一体化协同</w:t>
      </w:r>
      <w:r>
        <w:rPr>
          <w:rFonts w:hint="default" w:ascii="Times New Roman" w:hAnsi="Times New Roman" w:eastAsia="仿宋_GB2312" w:cs="Times New Roman"/>
          <w:sz w:val="32"/>
          <w:szCs w:val="32"/>
          <w:highlight w:val="none"/>
          <w:u w:val="none"/>
          <w:lang w:val="en-US" w:eastAsia="zh-CN"/>
        </w:rPr>
        <w:t>等</w:t>
      </w:r>
      <w:r>
        <w:rPr>
          <w:rFonts w:hint="default" w:ascii="Times New Roman" w:hAnsi="Times New Roman" w:eastAsia="仿宋_GB2312" w:cs="Times New Roman"/>
          <w:sz w:val="32"/>
          <w:szCs w:val="32"/>
          <w:highlight w:val="none"/>
          <w:u w:val="none"/>
          <w:lang w:eastAsia="zh-CN"/>
        </w:rPr>
        <w:t>技术</w:t>
      </w:r>
      <w:r>
        <w:rPr>
          <w:rFonts w:hint="default" w:ascii="Times New Roman" w:hAnsi="Times New Roman" w:eastAsia="仿宋_GB2312" w:cs="Times New Roman"/>
          <w:sz w:val="32"/>
          <w:szCs w:val="32"/>
          <w:highlight w:val="none"/>
          <w:u w:val="none"/>
          <w:lang w:val="en-US" w:eastAsia="zh-CN"/>
        </w:rPr>
        <w:t>难题</w:t>
      </w:r>
      <w:r>
        <w:rPr>
          <w:rFonts w:hint="default" w:ascii="Times New Roman" w:hAnsi="Times New Roman" w:eastAsia="仿宋_GB2312" w:cs="Times New Roman"/>
          <w:sz w:val="32"/>
          <w:szCs w:val="32"/>
          <w:highlight w:val="none"/>
          <w:u w:val="none"/>
          <w:lang w:eastAsia="zh-CN"/>
        </w:rPr>
        <w:t>，并熟化定型推广应用。</w:t>
      </w:r>
      <w:r>
        <w:rPr>
          <w:rFonts w:hint="default" w:ascii="Times New Roman" w:hAnsi="Times New Roman" w:eastAsia="仿宋_GB2312" w:cs="Times New Roman"/>
          <w:sz w:val="32"/>
          <w:szCs w:val="32"/>
          <w:highlight w:val="none"/>
          <w:u w:val="none"/>
        </w:rPr>
        <w:t>推动普田种业利用全基因组选择技术选育优质高产多抗水稻新品种项目加快选育进程，显著提升单产水平与抗逆性，为保障粮食安全提供种源支撑</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大力发展卫星产业，着重发展基于人工智能的农业智能诊断与精准治理应用示范项目，部署佳木斯全域农业数据底座、智慧农业综合服务等平台，探索“节肥减药”技术革新，形成集数据+智算+应用+指导+作业联动的“五位一体”化智慧农业体系。</w:t>
      </w:r>
    </w:p>
    <w:p w14:paraId="61D57490">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构建高能级科创平台。</w:t>
      </w:r>
      <w:r>
        <w:rPr>
          <w:rFonts w:hint="default" w:ascii="Times New Roman" w:hAnsi="Times New Roman" w:eastAsia="仿宋_GB2312" w:cs="Times New Roman"/>
          <w:sz w:val="32"/>
          <w:szCs w:val="32"/>
          <w:highlight w:val="none"/>
          <w:u w:val="none"/>
        </w:rPr>
        <w:t>构建“市级</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省级”二级创新平台矩阵，以精准化平台建设赋能产业技术突破。聚焦免耕精量播种机研发技术，助力建设省级工程技术研究中心科技创新平台；依托郊区种业集聚优势，推进筹备省、市级工程技术研究中心</w:t>
      </w:r>
      <w:r>
        <w:rPr>
          <w:rFonts w:hint="default" w:ascii="Times New Roman" w:hAnsi="Times New Roman" w:eastAsia="仿宋_GB2312" w:cs="Times New Roman"/>
          <w:sz w:val="32"/>
          <w:szCs w:val="32"/>
          <w:highlight w:val="none"/>
          <w:u w:val="none"/>
          <w:lang w:val="en-US" w:eastAsia="zh-CN"/>
        </w:rPr>
        <w:t>建设</w:t>
      </w:r>
      <w:r>
        <w:rPr>
          <w:rFonts w:hint="default" w:ascii="Times New Roman" w:hAnsi="Times New Roman" w:eastAsia="仿宋_GB2312" w:cs="Times New Roman"/>
          <w:sz w:val="32"/>
          <w:szCs w:val="32"/>
          <w:highlight w:val="none"/>
          <w:u w:val="none"/>
        </w:rPr>
        <w:t>。</w:t>
      </w:r>
    </w:p>
    <w:p w14:paraId="54E5B1FF">
      <w:pPr>
        <w:pStyle w:val="3"/>
        <w:keepNext w:val="0"/>
        <w:keepLines w:val="0"/>
        <w:pageBreakBefore w:val="0"/>
        <w:widowControl w:val="0"/>
        <w:kinsoku/>
        <w:wordWrap/>
        <w:overflowPunct w:val="0"/>
        <w:topLinePunct w:val="0"/>
        <w:autoSpaceDE/>
        <w:autoSpaceDN/>
        <w:bidi w:val="0"/>
        <w:adjustRightInd/>
        <w:snapToGrid/>
        <w:spacing w:before="0" w:after="0" w:line="600" w:lineRule="exact"/>
        <w:ind w:firstLine="640" w:firstLineChars="200"/>
        <w:textAlignment w:val="auto"/>
        <w:rPr>
          <w:rFonts w:hint="default" w:ascii="Times New Roman" w:hAnsi="Times New Roman" w:eastAsia="黑体" w:cs="Times New Roman"/>
          <w:b w:val="0"/>
          <w:bCs w:val="0"/>
          <w:highlight w:val="none"/>
          <w:u w:val="none"/>
          <w:lang w:val="zh-CN"/>
        </w:rPr>
      </w:pPr>
      <w:bookmarkStart w:id="59" w:name="_Toc4472"/>
      <w:bookmarkStart w:id="60" w:name="_Toc60605007"/>
      <w:bookmarkStart w:id="61" w:name="_Toc216985868"/>
      <w:r>
        <w:rPr>
          <w:rFonts w:hint="default" w:ascii="Times New Roman" w:hAnsi="Times New Roman" w:eastAsia="黑体" w:cs="Times New Roman"/>
          <w:b w:val="0"/>
          <w:bCs w:val="0"/>
          <w:highlight w:val="none"/>
          <w:u w:val="none"/>
          <w:lang w:val="zh-CN"/>
        </w:rPr>
        <w:t>二、完善科技创新体制机制</w:t>
      </w:r>
      <w:bookmarkEnd w:id="59"/>
      <w:bookmarkEnd w:id="60"/>
      <w:bookmarkEnd w:id="61"/>
    </w:p>
    <w:p w14:paraId="0AEA5CE1">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加大科技领域投入力度。</w:t>
      </w:r>
      <w:r>
        <w:rPr>
          <w:rFonts w:hint="default" w:ascii="Times New Roman" w:hAnsi="Times New Roman" w:eastAsia="仿宋_GB2312" w:cs="Times New Roman"/>
          <w:sz w:val="32"/>
          <w:szCs w:val="32"/>
          <w:highlight w:val="none"/>
          <w:u w:val="none"/>
        </w:rPr>
        <w:t>构建“政府引导、企业主导”的多元投入体系，全面提升企业科技研发经费支出。通过落实研发费用加计扣除、研发费用后补助等惠企政策，指导企业加大研发经费支出投入，力争规上且有研发投入企业达到7家以上。</w:t>
      </w:r>
    </w:p>
    <w:p w14:paraId="5BF9E406">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优化人才招引培养机制。</w:t>
      </w:r>
      <w:r>
        <w:rPr>
          <w:rFonts w:hint="default" w:ascii="Times New Roman" w:hAnsi="Times New Roman" w:eastAsia="仿宋_GB2312" w:cs="Times New Roman"/>
          <w:sz w:val="32"/>
          <w:szCs w:val="32"/>
          <w:highlight w:val="none"/>
          <w:u w:val="none"/>
        </w:rPr>
        <w:t>破除人才流动障碍，打破户籍、地域、身份、学历、人事关系等制约，为人才跨地区、跨行业、跨体制流动提供便利条件。开展柔性引才，采取项目合作、短期兼职、培训指导、挂职服务、专家咨询等方式引进一批急需的高层次人才，对经认定以项目合作、短期挂职等方式柔性引才引智的企事业单位，按项目投入或人员报酬给予一定比例的经费补助。建立与省内等重点城市人才交流的长效机制，与周边地区重点科研院所和事业单位开展长期战略合作，采取挂职锻炼等方式吸引各类人才来郊区工作交流。推进“乡情式”引才，持续实施“金凤还巢”计划，加强在外佳木斯籍优秀企业家、科技英才、学子的常态化沟通联系，实行重点高校佳木斯籍在读大学生、在职教师联系卡制度。探索“招商式”引才方式，组建专业化人才招录专班，面向全国高校招聘一批应届毕业生。完善人才编制“周转池”制度，急需用人单位可在满编情况下申请使用专项周转事业编制，方便引进急需紧缺专业人才、基层一线人才。</w:t>
      </w:r>
    </w:p>
    <w:p w14:paraId="1CADB48A">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健全人才激励机制。</w:t>
      </w:r>
      <w:r>
        <w:rPr>
          <w:rFonts w:hint="default" w:ascii="Times New Roman" w:hAnsi="Times New Roman" w:eastAsia="仿宋_GB2312" w:cs="Times New Roman"/>
          <w:sz w:val="32"/>
          <w:szCs w:val="32"/>
          <w:highlight w:val="none"/>
          <w:u w:val="none"/>
        </w:rPr>
        <w:t>构建更具吸引力的人才环境，探索事业单位人才评价、激励和约束机制，向用人主体放权、为人才松绑。减少对各类创新项目的直接干预，赋予创新人才和团队更大人财物支配权、技术路线决策权。加强科技人才队伍建设，积极推荐政治素质好、参政议政能力强的企业家和科技人才作为各级党代会代表、人大代表、政协委员人选。建立人才荣誉制度，大力宣传表彰奖励为</w:t>
      </w:r>
      <w:r>
        <w:rPr>
          <w:rFonts w:hint="eastAsia" w:ascii="Times New Roman" w:hAnsi="Times New Roman" w:eastAsia="仿宋_GB2312" w:cs="Times New Roman"/>
          <w:sz w:val="32"/>
          <w:szCs w:val="32"/>
          <w:highlight w:val="none"/>
          <w:u w:val="none"/>
          <w:lang w:eastAsia="zh-CN"/>
        </w:rPr>
        <w:t>经济社会发展作出</w:t>
      </w:r>
      <w:r>
        <w:rPr>
          <w:rFonts w:hint="default" w:ascii="Times New Roman" w:hAnsi="Times New Roman" w:eastAsia="仿宋_GB2312" w:cs="Times New Roman"/>
          <w:sz w:val="32"/>
          <w:szCs w:val="32"/>
          <w:highlight w:val="none"/>
          <w:u w:val="none"/>
        </w:rPr>
        <w:t>突出贡献的优秀人才。开展有突出贡献专业技术人才、农村致富领头人等各类优秀人才评选活动，打造不同层次、不同领域的优秀人才群体。按规定做好人才政策兑现及居住、医疗和子女教育等服务保障工作，营造拴心留人的好环境。</w:t>
      </w:r>
    </w:p>
    <w:p w14:paraId="1FE29763">
      <w:pPr>
        <w:keepNext w:val="0"/>
        <w:keepLines w:val="0"/>
        <w:pageBreakBefore w:val="0"/>
        <w:widowControl w:val="0"/>
        <w:kinsoku/>
        <w:wordWrap/>
        <w:overflowPunct w:val="0"/>
        <w:topLinePunct w:val="0"/>
        <w:autoSpaceDE w:val="0"/>
        <w:autoSpaceDN w:val="0"/>
        <w:bidi w:val="0"/>
        <w:adjustRightInd w:val="0"/>
        <w:snapToGrid/>
        <w:spacing w:before="128" w:beforeLines="40" w:after="64" w:afterLines="2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62" w:name="_Toc216985869"/>
      <w:r>
        <w:rPr>
          <w:rFonts w:hint="default" w:ascii="Times New Roman" w:hAnsi="Times New Roman" w:eastAsia="方正小标宋简体" w:cs="Times New Roman"/>
          <w:b w:val="0"/>
          <w:bCs/>
          <w:sz w:val="32"/>
          <w:szCs w:val="32"/>
          <w:highlight w:val="none"/>
          <w:u w:val="none"/>
          <w:lang w:val="zh-CN"/>
        </w:rPr>
        <w:t>第六章 聚焦农业高质量发展，全面推进</w:t>
      </w:r>
      <w:bookmarkStart w:id="63" w:name="_Hlk56260592"/>
      <w:r>
        <w:rPr>
          <w:rFonts w:hint="default" w:ascii="Times New Roman" w:hAnsi="Times New Roman" w:eastAsia="方正小标宋简体" w:cs="Times New Roman"/>
          <w:b w:val="0"/>
          <w:bCs/>
          <w:sz w:val="32"/>
          <w:szCs w:val="32"/>
          <w:highlight w:val="none"/>
          <w:u w:val="none"/>
          <w:lang w:val="zh-CN"/>
        </w:rPr>
        <w:t>乡村振兴</w:t>
      </w:r>
      <w:bookmarkEnd w:id="62"/>
    </w:p>
    <w:bookmarkEnd w:id="63"/>
    <w:p w14:paraId="52D686A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坚持农业农村优先发展，以发展现代化大农业为主攻方向，以保障国家粮食安全为目标，不断提升农业综合效益和竞争力，大力发展科技农业、绿色农业、质量农业、品牌农业，加快实施乡村振兴战略，加快实现农业农村现代化。</w:t>
      </w:r>
    </w:p>
    <w:p w14:paraId="0AF9B9A0">
      <w:pPr>
        <w:pStyle w:val="3"/>
        <w:keepNext w:val="0"/>
        <w:keepLines w:val="0"/>
        <w:pageBreakBefore w:val="0"/>
        <w:widowControl w:val="0"/>
        <w:kinsoku/>
        <w:wordWrap/>
        <w:overflowPunct w:val="0"/>
        <w:topLinePunct w:val="0"/>
        <w:autoSpaceDE/>
        <w:autoSpaceDN/>
        <w:bidi w:val="0"/>
        <w:adjustRightInd/>
        <w:snapToGrid/>
        <w:spacing w:before="0" w:after="0" w:line="600" w:lineRule="exact"/>
        <w:ind w:firstLine="640" w:firstLineChars="200"/>
        <w:textAlignment w:val="auto"/>
        <w:rPr>
          <w:rFonts w:hint="default" w:ascii="Times New Roman" w:hAnsi="Times New Roman" w:eastAsia="黑体" w:cs="Times New Roman"/>
          <w:b w:val="0"/>
          <w:bCs w:val="0"/>
          <w:highlight w:val="none"/>
          <w:u w:val="none"/>
          <w:lang w:val="zh-CN"/>
        </w:rPr>
      </w:pPr>
      <w:bookmarkStart w:id="64" w:name="_Toc216985870"/>
      <w:bookmarkStart w:id="65" w:name="_Hlk214480682"/>
      <w:r>
        <w:rPr>
          <w:rFonts w:hint="default" w:ascii="Times New Roman" w:hAnsi="Times New Roman" w:eastAsia="黑体" w:cs="Times New Roman"/>
          <w:b w:val="0"/>
          <w:bCs w:val="0"/>
          <w:highlight w:val="none"/>
          <w:u w:val="none"/>
          <w:lang w:val="zh-CN"/>
        </w:rPr>
        <w:t>一、提升优质农产品供给能力</w:t>
      </w:r>
      <w:bookmarkEnd w:id="64"/>
    </w:p>
    <w:p w14:paraId="2952DEA2">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sz w:val="32"/>
          <w:szCs w:val="32"/>
          <w:highlight w:val="none"/>
          <w:u w:val="none"/>
        </w:rPr>
        <w:t>调整优化种植结构。</w:t>
      </w:r>
      <w:r>
        <w:rPr>
          <w:rFonts w:hint="default" w:ascii="Times New Roman" w:hAnsi="Times New Roman" w:eastAsia="仿宋_GB2312" w:cs="Times New Roman"/>
          <w:sz w:val="32"/>
          <w:szCs w:val="32"/>
          <w:highlight w:val="none"/>
          <w:u w:val="none"/>
        </w:rPr>
        <w:t>严守永久基本农田红线，坚持稳面积、增单产两手发力，坚决</w:t>
      </w:r>
      <w:r>
        <w:rPr>
          <w:rFonts w:hint="eastAsia" w:ascii="Times New Roman" w:hAnsi="Times New Roman" w:eastAsia="仿宋_GB2312" w:cs="Times New Roman"/>
          <w:sz w:val="32"/>
          <w:szCs w:val="32"/>
          <w:highlight w:val="none"/>
          <w:u w:val="none"/>
          <w:lang w:eastAsia="zh-CN"/>
        </w:rPr>
        <w:t>遏制耕地“非农化”、防止“非粮化”</w:t>
      </w:r>
      <w:r>
        <w:rPr>
          <w:rFonts w:hint="default" w:ascii="Times New Roman" w:hAnsi="Times New Roman" w:eastAsia="仿宋_GB2312" w:cs="Times New Roman"/>
          <w:sz w:val="32"/>
          <w:szCs w:val="32"/>
          <w:highlight w:val="none"/>
          <w:u w:val="none"/>
        </w:rPr>
        <w:t>，加快建设粮食生产功能区和重要农产品生产保护区。深入实施全省千万吨粮食增产计划，主攻粮食单产和品质提升，持续提升粮食综合生产能力。稳定主粮种植面积基础上，适度扩大食用菌、瓜果蔬菜、中草药等经济作物种植面积。继续推进现代种业提升工程，开展重大品种研发推广应用一体化试点，推进寒地水稻基地建设，提升国家级制种大县和区域性繁育基地现代化水平。到2030年，确保全区农作物种植面积在132万亩以上，五年产量累计突破60亿斤。</w:t>
      </w:r>
    </w:p>
    <w:p w14:paraId="6B33A678">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提升畜牧产业供给能力。</w:t>
      </w:r>
      <w:r>
        <w:rPr>
          <w:rFonts w:hint="default" w:ascii="Times New Roman" w:hAnsi="Times New Roman" w:eastAsia="仿宋_GB2312" w:cs="Times New Roman"/>
          <w:sz w:val="32"/>
          <w:szCs w:val="32"/>
          <w:highlight w:val="none"/>
          <w:u w:val="none"/>
        </w:rPr>
        <w:t>稳固生猪产业优势，依托“生猪调出大县”政策红利与产业基础，优化生猪养殖布局，推进规模养殖场升级改造，完善粪污资源化利用设施，保障生猪产能稳定、安全供应，持续扩大良种引进规模，强化区域供应核心地位。扩大畜禽养殖规模，以市场需求为导向，稳步提升肉牛、肉羊、蛋鸡养殖体量。提高规模养殖占比，以生猪、蛋鸡为重点，鼓励散养户向规模化养殖场转型，建立养殖技术培训体系，定期开展饲养管理、疫病防控等专项培训，提升规模养殖场标准化管理水平，逐步将生猪、蛋鸡规模化率提高至区域领先水平。深入实施冷水渔业振兴行动，打好春育、夏放、秋捞、冬捕渔业“四季牌”，促进郊区冷水鱼规范化、优质化、特色化发展。加快发展生态健康精细养殖，重点支持标准化规模养殖场（基地）建设。健全动物防疫体系，加快提升畜禽饲养管理和粪污资源化利用水平。</w:t>
      </w:r>
    </w:p>
    <w:p w14:paraId="20078860">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u w:val="none"/>
        </w:rPr>
      </w:pPr>
      <w:bookmarkStart w:id="66" w:name="_Hlk56286736"/>
      <w:r>
        <w:rPr>
          <w:rFonts w:hint="default" w:ascii="Times New Roman" w:hAnsi="Times New Roman" w:eastAsia="仿宋_GB2312" w:cs="Times New Roman"/>
          <w:b/>
          <w:sz w:val="32"/>
          <w:szCs w:val="32"/>
          <w:highlight w:val="none"/>
          <w:u w:val="none"/>
        </w:rPr>
        <w:t>推动林业经济转型升级</w:t>
      </w:r>
      <w:bookmarkEnd w:id="66"/>
      <w:r>
        <w:rPr>
          <w:rFonts w:hint="default" w:ascii="Times New Roman" w:hAnsi="Times New Roman" w:eastAsia="仿宋_GB2312" w:cs="Times New Roman"/>
          <w:b/>
          <w:sz w:val="32"/>
          <w:szCs w:val="32"/>
          <w:highlight w:val="none"/>
          <w:u w:val="none"/>
        </w:rPr>
        <w:t>。</w:t>
      </w:r>
      <w:r>
        <w:rPr>
          <w:rFonts w:hint="default" w:ascii="Times New Roman" w:hAnsi="Times New Roman" w:eastAsia="仿宋_GB2312" w:cs="Times New Roman"/>
          <w:sz w:val="32"/>
          <w:szCs w:val="32"/>
          <w:highlight w:val="none"/>
          <w:u w:val="none"/>
        </w:rPr>
        <w:t>利用林下小气候条件和森林抚育剩余物，统筹发展林粮、林菌、林药、林菜、林果、林下养殖等系列森林食品，稳步发展黑木耳等食用菌生产。鼓励利用林下空间发展刺五加、紫苏、沙棘等中草药种植，做优做强“寒地龙药”产业。依托资源优势发展森林旅游业，充分发挥森林的生态、经济和社会效益。到2030年，中草药种植面积发展到1000亩以上，林下经济经营和利用林地总面积达到7万亩以上，林下经济总产值达到1亿元以上。</w:t>
      </w:r>
    </w:p>
    <w:p w14:paraId="37863D95">
      <w:pPr>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br w:type="page"/>
      </w:r>
    </w:p>
    <w:bookmarkEnd w:id="65"/>
    <w:tbl>
      <w:tblPr>
        <w:tblStyle w:val="30"/>
        <w:tblW w:w="8669"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69"/>
        <w:gridCol w:w="7000"/>
      </w:tblGrid>
      <w:tr w14:paraId="671EADD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38" w:hRule="atLeast"/>
          <w:jc w:val="center"/>
        </w:trPr>
        <w:tc>
          <w:tcPr>
            <w:tcW w:w="8669" w:type="dxa"/>
            <w:gridSpan w:val="2"/>
            <w:tcBorders>
              <w:top w:val="single" w:color="auto" w:sz="12" w:space="0"/>
            </w:tcBorders>
            <w:vAlign w:val="center"/>
          </w:tcPr>
          <w:p w14:paraId="33F55DD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专栏9 优化农业生产力布局</w:t>
            </w:r>
          </w:p>
        </w:tc>
      </w:tr>
      <w:tr w14:paraId="3E6B7D1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3" w:hRule="atLeast"/>
          <w:jc w:val="center"/>
        </w:trPr>
        <w:tc>
          <w:tcPr>
            <w:tcW w:w="1669" w:type="dxa"/>
            <w:tcBorders>
              <w:right w:val="single" w:color="auto" w:sz="4" w:space="0"/>
            </w:tcBorders>
            <w:vAlign w:val="center"/>
          </w:tcPr>
          <w:p w14:paraId="1F00FB89">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任务</w:t>
            </w:r>
          </w:p>
        </w:tc>
        <w:tc>
          <w:tcPr>
            <w:tcW w:w="7000" w:type="dxa"/>
            <w:tcBorders>
              <w:left w:val="single" w:color="auto" w:sz="4" w:space="0"/>
            </w:tcBorders>
            <w:vAlign w:val="center"/>
          </w:tcPr>
          <w:p w14:paraId="03BE811A">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建设内容</w:t>
            </w:r>
          </w:p>
        </w:tc>
      </w:tr>
      <w:tr w14:paraId="4A32878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68" w:hRule="atLeast"/>
          <w:jc w:val="center"/>
        </w:trPr>
        <w:tc>
          <w:tcPr>
            <w:tcW w:w="1669" w:type="dxa"/>
            <w:tcBorders>
              <w:right w:val="single" w:color="auto" w:sz="4" w:space="0"/>
            </w:tcBorders>
            <w:vAlign w:val="center"/>
          </w:tcPr>
          <w:p w14:paraId="3CABA3F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调整优化</w:t>
            </w:r>
          </w:p>
          <w:p w14:paraId="1FBF14A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种植结构</w:t>
            </w:r>
          </w:p>
        </w:tc>
        <w:tc>
          <w:tcPr>
            <w:tcW w:w="7000" w:type="dxa"/>
            <w:tcBorders>
              <w:left w:val="single" w:color="auto" w:sz="4" w:space="0"/>
            </w:tcBorders>
            <w:vAlign w:val="center"/>
          </w:tcPr>
          <w:p w14:paraId="0088FCAE">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水稻：</w:t>
            </w:r>
            <w:bookmarkStart w:id="67" w:name="_Hlk56286869"/>
            <w:r>
              <w:rPr>
                <w:rFonts w:hint="default" w:ascii="Times New Roman" w:hAnsi="Times New Roman" w:eastAsia="宋体" w:cs="Times New Roman"/>
                <w:sz w:val="24"/>
                <w:highlight w:val="none"/>
                <w:u w:val="none"/>
              </w:rPr>
              <w:t>到2030年，</w:t>
            </w:r>
            <w:bookmarkEnd w:id="67"/>
            <w:r>
              <w:rPr>
                <w:rFonts w:hint="default" w:ascii="Times New Roman" w:hAnsi="Times New Roman" w:eastAsia="宋体" w:cs="Times New Roman"/>
                <w:sz w:val="24"/>
                <w:highlight w:val="none"/>
                <w:u w:val="none"/>
              </w:rPr>
              <w:t>种植面积稳定在40万亩左右。</w:t>
            </w:r>
          </w:p>
          <w:p w14:paraId="22524BCC">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玉米：到2030年，种植面积稳定在80万亩左右。</w:t>
            </w:r>
          </w:p>
        </w:tc>
      </w:tr>
      <w:tr w14:paraId="388708E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86" w:hRule="atLeast"/>
          <w:jc w:val="center"/>
        </w:trPr>
        <w:tc>
          <w:tcPr>
            <w:tcW w:w="1669" w:type="dxa"/>
            <w:tcBorders>
              <w:right w:val="single" w:color="auto" w:sz="4" w:space="0"/>
            </w:tcBorders>
            <w:vAlign w:val="center"/>
          </w:tcPr>
          <w:p w14:paraId="0F8566A0">
            <w:pPr>
              <w:spacing w:line="320" w:lineRule="exact"/>
              <w:jc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畜牧业</w:t>
            </w:r>
          </w:p>
        </w:tc>
        <w:tc>
          <w:tcPr>
            <w:tcW w:w="7000" w:type="dxa"/>
            <w:tcBorders>
              <w:left w:val="single" w:color="auto" w:sz="4" w:space="0"/>
            </w:tcBorders>
            <w:vAlign w:val="center"/>
          </w:tcPr>
          <w:p w14:paraId="0BBEC293">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生猪：到2030年，生猪出栏量达到</w:t>
            </w:r>
            <w:r>
              <w:rPr>
                <w:rFonts w:hint="eastAsia" w:ascii="Times New Roman" w:hAnsi="Times New Roman" w:eastAsia="宋体" w:cs="Times New Roman"/>
                <w:sz w:val="24"/>
                <w:highlight w:val="none"/>
                <w:u w:val="none"/>
                <w:lang w:val="en-US" w:eastAsia="zh-CN"/>
              </w:rPr>
              <w:t>76.8</w:t>
            </w:r>
            <w:r>
              <w:rPr>
                <w:rFonts w:hint="default" w:ascii="Times New Roman" w:hAnsi="Times New Roman" w:eastAsia="宋体" w:cs="Times New Roman"/>
                <w:sz w:val="24"/>
                <w:highlight w:val="none"/>
                <w:u w:val="none"/>
              </w:rPr>
              <w:t>万头，建设标准化规模养殖场</w:t>
            </w:r>
            <w:r>
              <w:rPr>
                <w:rFonts w:hint="eastAsia" w:ascii="Times New Roman" w:hAnsi="Times New Roman" w:eastAsia="宋体" w:cs="Times New Roman"/>
                <w:sz w:val="24"/>
                <w:highlight w:val="none"/>
                <w:u w:val="none"/>
                <w:lang w:val="en-US" w:eastAsia="zh-CN"/>
              </w:rPr>
              <w:t>10</w:t>
            </w:r>
            <w:r>
              <w:rPr>
                <w:rFonts w:hint="default" w:ascii="Times New Roman" w:hAnsi="Times New Roman" w:eastAsia="宋体" w:cs="Times New Roman"/>
                <w:sz w:val="24"/>
                <w:highlight w:val="none"/>
                <w:u w:val="none"/>
              </w:rPr>
              <w:t>个。</w:t>
            </w:r>
          </w:p>
          <w:p w14:paraId="303B2897">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肉牛：到2030年，肉牛出栏量达到</w:t>
            </w:r>
            <w:r>
              <w:rPr>
                <w:rFonts w:hint="eastAsia" w:ascii="Times New Roman" w:hAnsi="Times New Roman" w:eastAsia="宋体" w:cs="Times New Roman"/>
                <w:sz w:val="24"/>
                <w:highlight w:val="none"/>
                <w:u w:val="none"/>
                <w:lang w:val="en-US" w:eastAsia="zh-CN"/>
              </w:rPr>
              <w:t>2.6</w:t>
            </w:r>
            <w:r>
              <w:rPr>
                <w:rFonts w:hint="default" w:ascii="Times New Roman" w:hAnsi="Times New Roman" w:eastAsia="宋体" w:cs="Times New Roman"/>
                <w:sz w:val="24"/>
                <w:highlight w:val="none"/>
                <w:u w:val="none"/>
              </w:rPr>
              <w:t>万头，打造标准化肉牛产业基地</w:t>
            </w:r>
            <w:r>
              <w:rPr>
                <w:rFonts w:hint="eastAsia" w:ascii="Times New Roman" w:hAnsi="Times New Roman" w:eastAsia="宋体" w:cs="Times New Roman"/>
                <w:sz w:val="24"/>
                <w:highlight w:val="none"/>
                <w:u w:val="none"/>
                <w:lang w:val="en-US" w:eastAsia="zh-CN"/>
              </w:rPr>
              <w:t>2</w:t>
            </w:r>
            <w:r>
              <w:rPr>
                <w:rFonts w:hint="default" w:ascii="Times New Roman" w:hAnsi="Times New Roman" w:eastAsia="宋体" w:cs="Times New Roman"/>
                <w:sz w:val="24"/>
                <w:highlight w:val="none"/>
                <w:u w:val="none"/>
              </w:rPr>
              <w:t>个。</w:t>
            </w:r>
          </w:p>
          <w:p w14:paraId="6891029E">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肉羊：到2030年，肉羊存栏达到</w:t>
            </w:r>
            <w:r>
              <w:rPr>
                <w:rFonts w:hint="eastAsia" w:ascii="Times New Roman" w:hAnsi="Times New Roman" w:eastAsia="宋体" w:cs="Times New Roman"/>
                <w:sz w:val="24"/>
                <w:highlight w:val="none"/>
                <w:u w:val="none"/>
                <w:lang w:val="en-US" w:eastAsia="zh-CN"/>
              </w:rPr>
              <w:t>3.5</w:t>
            </w:r>
            <w:r>
              <w:rPr>
                <w:rFonts w:hint="default" w:ascii="Times New Roman" w:hAnsi="Times New Roman" w:eastAsia="宋体" w:cs="Times New Roman"/>
                <w:sz w:val="24"/>
                <w:highlight w:val="none"/>
                <w:u w:val="none"/>
              </w:rPr>
              <w:t>万只。</w:t>
            </w:r>
          </w:p>
          <w:p w14:paraId="1E1E5878">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 xml:space="preserve">家禽：到2030年，肉禽出栏量达到 </w:t>
            </w:r>
            <w:r>
              <w:rPr>
                <w:rFonts w:hint="eastAsia" w:ascii="Times New Roman" w:hAnsi="Times New Roman" w:eastAsia="宋体" w:cs="Times New Roman"/>
                <w:sz w:val="24"/>
                <w:highlight w:val="none"/>
                <w:u w:val="none"/>
                <w:lang w:val="en-US" w:eastAsia="zh-CN"/>
              </w:rPr>
              <w:t>317</w:t>
            </w:r>
            <w:r>
              <w:rPr>
                <w:rFonts w:hint="default" w:ascii="Times New Roman" w:hAnsi="Times New Roman" w:eastAsia="宋体" w:cs="Times New Roman"/>
                <w:sz w:val="24"/>
                <w:highlight w:val="none"/>
                <w:u w:val="none"/>
              </w:rPr>
              <w:t>万只，蛋产量达到</w:t>
            </w:r>
            <w:r>
              <w:rPr>
                <w:rFonts w:hint="eastAsia" w:ascii="Times New Roman" w:hAnsi="Times New Roman" w:eastAsia="宋体" w:cs="Times New Roman"/>
                <w:sz w:val="24"/>
                <w:highlight w:val="none"/>
                <w:u w:val="none"/>
                <w:lang w:val="en-US" w:eastAsia="zh-CN"/>
              </w:rPr>
              <w:t>6.4</w:t>
            </w:r>
            <w:r>
              <w:rPr>
                <w:rFonts w:hint="default" w:ascii="Times New Roman" w:hAnsi="Times New Roman" w:eastAsia="宋体" w:cs="Times New Roman"/>
                <w:sz w:val="24"/>
                <w:highlight w:val="none"/>
                <w:u w:val="none"/>
              </w:rPr>
              <w:t>万吨。（畜牧各项指标待省指标下达后再确定）</w:t>
            </w:r>
          </w:p>
          <w:p w14:paraId="0D34AABF">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渔业：</w:t>
            </w:r>
            <w:r>
              <w:rPr>
                <w:rFonts w:hint="default" w:ascii="Times New Roman" w:hAnsi="Times New Roman" w:eastAsia="宋体" w:cs="Times New Roman"/>
                <w:sz w:val="24"/>
                <w:highlight w:val="none"/>
                <w:u w:val="none"/>
                <w:lang w:val="en-US" w:eastAsia="zh-CN"/>
              </w:rPr>
              <w:t>到</w:t>
            </w:r>
            <w:r>
              <w:rPr>
                <w:rFonts w:hint="default" w:ascii="Times New Roman" w:hAnsi="Times New Roman" w:eastAsia="宋体" w:cs="Times New Roman"/>
                <w:sz w:val="24"/>
                <w:highlight w:val="none"/>
                <w:u w:val="none"/>
              </w:rPr>
              <w:t>2030年，水产品养殖面积稳定在</w:t>
            </w:r>
            <w:r>
              <w:rPr>
                <w:rFonts w:hint="eastAsia" w:ascii="Times New Roman" w:hAnsi="Times New Roman" w:eastAsia="宋体" w:cs="Times New Roman"/>
                <w:sz w:val="24"/>
                <w:highlight w:val="none"/>
                <w:u w:val="none"/>
                <w:lang w:val="en-US" w:eastAsia="zh-CN"/>
              </w:rPr>
              <w:t>1</w:t>
            </w:r>
            <w:r>
              <w:rPr>
                <w:rFonts w:hint="default" w:ascii="Times New Roman" w:hAnsi="Times New Roman" w:eastAsia="宋体" w:cs="Times New Roman"/>
                <w:sz w:val="24"/>
                <w:highlight w:val="none"/>
                <w:u w:val="none"/>
              </w:rPr>
              <w:t>万亩，水产品年产量达到</w:t>
            </w:r>
            <w:r>
              <w:rPr>
                <w:rFonts w:hint="eastAsia" w:ascii="Times New Roman" w:hAnsi="Times New Roman" w:eastAsia="宋体" w:cs="Times New Roman"/>
                <w:sz w:val="24"/>
                <w:highlight w:val="none"/>
                <w:u w:val="none"/>
                <w:lang w:val="en-US" w:eastAsia="zh-CN"/>
              </w:rPr>
              <w:t>0.6</w:t>
            </w:r>
            <w:r>
              <w:rPr>
                <w:rFonts w:hint="default" w:ascii="Times New Roman" w:hAnsi="Times New Roman" w:eastAsia="宋体" w:cs="Times New Roman"/>
                <w:sz w:val="24"/>
                <w:highlight w:val="none"/>
                <w:u w:val="none"/>
              </w:rPr>
              <w:t>万吨以上。</w:t>
            </w:r>
          </w:p>
        </w:tc>
      </w:tr>
      <w:tr w14:paraId="77D368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669" w:type="dxa"/>
            <w:tcBorders>
              <w:bottom w:val="single" w:color="auto" w:sz="12" w:space="0"/>
              <w:right w:val="single" w:color="auto" w:sz="4" w:space="0"/>
            </w:tcBorders>
            <w:vAlign w:val="center"/>
          </w:tcPr>
          <w:p w14:paraId="2F6C48A7">
            <w:pPr>
              <w:spacing w:line="320" w:lineRule="exact"/>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特色</w:t>
            </w:r>
          </w:p>
          <w:p w14:paraId="682BE8E3">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highlight w:val="none"/>
                <w:u w:val="none"/>
              </w:rPr>
              <w:t>农林产品</w:t>
            </w:r>
          </w:p>
        </w:tc>
        <w:tc>
          <w:tcPr>
            <w:tcW w:w="7000" w:type="dxa"/>
            <w:tcBorders>
              <w:left w:val="single" w:color="auto" w:sz="4" w:space="0"/>
              <w:bottom w:val="single" w:color="auto" w:sz="12" w:space="0"/>
            </w:tcBorders>
            <w:vAlign w:val="center"/>
          </w:tcPr>
          <w:p w14:paraId="77922B79">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蔬菜：到2030年，设施蔬菜种植面积发展到1万亩。</w:t>
            </w:r>
          </w:p>
          <w:p w14:paraId="3D9AA716">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食用菌：到2030年，发展到800万袋。</w:t>
            </w:r>
          </w:p>
          <w:p w14:paraId="7108C0A5">
            <w:pPr>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北药：到2030年，中药材种植面积达到1000亩。</w:t>
            </w:r>
          </w:p>
        </w:tc>
      </w:tr>
    </w:tbl>
    <w:p w14:paraId="046F6CE2">
      <w:pPr>
        <w:pStyle w:val="3"/>
        <w:keepNext w:val="0"/>
        <w:keepLines w:val="0"/>
        <w:pageBreakBefore w:val="0"/>
        <w:widowControl w:val="0"/>
        <w:kinsoku/>
        <w:wordWrap/>
        <w:overflowPunct w:val="0"/>
        <w:topLinePunct w:val="0"/>
        <w:autoSpaceDE/>
        <w:autoSpaceDN/>
        <w:bidi w:val="0"/>
        <w:adjustRightInd/>
        <w:snapToGrid/>
        <w:spacing w:before="0" w:after="0" w:line="590" w:lineRule="exact"/>
        <w:ind w:firstLine="640" w:firstLineChars="200"/>
        <w:textAlignment w:val="auto"/>
        <w:rPr>
          <w:rFonts w:hint="default" w:ascii="Times New Roman" w:hAnsi="Times New Roman" w:eastAsia="黑体" w:cs="Times New Roman"/>
          <w:b w:val="0"/>
          <w:bCs w:val="0"/>
          <w:highlight w:val="none"/>
          <w:u w:val="none"/>
          <w:lang w:val="zh-CN"/>
        </w:rPr>
      </w:pPr>
      <w:bookmarkStart w:id="68" w:name="_Toc216985871"/>
      <w:r>
        <w:rPr>
          <w:rFonts w:hint="default" w:ascii="Times New Roman" w:hAnsi="Times New Roman" w:eastAsia="黑体" w:cs="Times New Roman"/>
          <w:b w:val="0"/>
          <w:bCs w:val="0"/>
          <w:highlight w:val="none"/>
          <w:u w:val="none"/>
          <w:lang w:val="zh-CN"/>
        </w:rPr>
        <w:t>二、夯实农业高质量发展基础</w:t>
      </w:r>
      <w:bookmarkEnd w:id="68"/>
    </w:p>
    <w:p w14:paraId="1EFC0D93">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lang w:val="en-US" w:eastAsia="zh-CN"/>
        </w:rPr>
        <w:t>持续加强</w:t>
      </w:r>
      <w:r>
        <w:rPr>
          <w:rFonts w:hint="default" w:ascii="Times New Roman" w:hAnsi="Times New Roman" w:eastAsia="仿宋_GB2312" w:cs="Times New Roman"/>
          <w:b/>
          <w:bCs/>
          <w:color w:val="000000"/>
          <w:sz w:val="32"/>
          <w:szCs w:val="32"/>
          <w:highlight w:val="none"/>
          <w:u w:val="none"/>
          <w:lang w:val="en-US" w:eastAsia="zh-CN"/>
        </w:rPr>
        <w:t>黑土地保护。</w:t>
      </w:r>
      <w:r>
        <w:rPr>
          <w:rFonts w:hint="default" w:ascii="Times New Roman" w:hAnsi="Times New Roman" w:eastAsia="仿宋_GB2312" w:cs="Times New Roman"/>
          <w:color w:val="000000"/>
          <w:sz w:val="32"/>
          <w:szCs w:val="32"/>
          <w:highlight w:val="none"/>
          <w:u w:val="none"/>
          <w:lang w:val="en-US" w:eastAsia="zh-CN"/>
        </w:rPr>
        <w:t>按照全面保护、集约利用、用养结合的原则，持续提高土地质效。严守耕地红线，严格占补平衡管理，推动各类耕地占用纳入统一管理。建立耕地种植用途监测体系，坚决遏制耕地“非农化”、防止“非粮化”。</w:t>
      </w:r>
      <w:r>
        <w:rPr>
          <w:rFonts w:hint="default" w:ascii="Times New Roman" w:hAnsi="Times New Roman" w:eastAsia="仿宋_GB2312" w:cs="Times New Roman"/>
          <w:sz w:val="32"/>
          <w:szCs w:val="32"/>
          <w:highlight w:val="none"/>
          <w:u w:val="none"/>
        </w:rPr>
        <w:t>持续推进高标准农田建设，以田、土、水、路、林、技、管综合治理为重点，兼顾电力、气象、生态、病虫害防治服务体系，稳步提高农田基础设施建设标准。健全高标准农田长效管理机制，明确和落实建管责任。通过耕地深松、秸秆还田、培肥地力、控污修复和合理轮作等多种措施，持续推进耕地地力和质量双提升。完善农田水利基础设施建设，加强重点区域河段防洪泄洪及农田排涝能力建设，提高农业防灾减灾能力。到2030年，力争将符合要求的永久基本农田全部建成高标准农田，农田灌溉水有效利用系数稳定在0.624以上。</w:t>
      </w:r>
    </w:p>
    <w:p w14:paraId="36867B8B">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jc w:val="left"/>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积极发展设施农业。</w:t>
      </w:r>
      <w:r>
        <w:rPr>
          <w:rFonts w:hint="default" w:ascii="Times New Roman" w:hAnsi="Times New Roman" w:eastAsia="仿宋_GB2312" w:cs="Times New Roman"/>
          <w:sz w:val="32"/>
          <w:szCs w:val="32"/>
          <w:highlight w:val="none"/>
          <w:u w:val="none"/>
        </w:rPr>
        <w:t>推进实施老旧低效设施改造，推广应急补光、水肥一体化等自动化调控设备，以及打药机、物流运输机械等省力化作业装备，增配作物长势视频监控等环境和作物生长等信息监测设备，提升机械化、自动化、智能化水平。加快规模养殖场设施化改造升级，推动畜禽规模养殖场配套和完善精准饲喂、自动饮水、电子识别、状态监测、疫病防控等设备及控制系统，实现高效节约养殖。因地制宜发展日光温室、植物工厂等立体高效种养模式，探索推进陆基养殖渔场建设。到2030年，力争形成一批布局合理、高产高效的现代设施农业标准化园区，翻新扩建郊区老旧设施棚室2000栋。</w:t>
      </w:r>
    </w:p>
    <w:p w14:paraId="603E4CB3">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提升农业机械化水平。</w:t>
      </w:r>
      <w:r>
        <w:rPr>
          <w:rFonts w:hint="default" w:ascii="Times New Roman" w:hAnsi="Times New Roman" w:eastAsia="仿宋_GB2312" w:cs="Times New Roman"/>
          <w:sz w:val="32"/>
          <w:szCs w:val="32"/>
          <w:highlight w:val="none"/>
          <w:u w:val="none"/>
        </w:rPr>
        <w:t>调整优化农机结构，以粮食、蔬菜生产机械为补贴重点，重点引进大型综合耕作作业机械，加快推进主要作物全程机械化智能化水平。促进农机与农艺融合，提高耕种、灌溉、植保等作业机械装备水平，积极推广高效植保机械、施肥机械、</w:t>
      </w:r>
      <w:r>
        <w:rPr>
          <w:rFonts w:hint="eastAsia" w:ascii="Times New Roman" w:hAnsi="Times New Roman" w:eastAsia="仿宋_GB2312" w:cs="Times New Roman"/>
          <w:sz w:val="32"/>
          <w:szCs w:val="32"/>
          <w:highlight w:val="none"/>
          <w:u w:val="none"/>
          <w:lang w:eastAsia="zh-CN"/>
        </w:rPr>
        <w:t>水肥一体化</w:t>
      </w:r>
      <w:r>
        <w:rPr>
          <w:rFonts w:hint="default" w:ascii="Times New Roman" w:hAnsi="Times New Roman" w:eastAsia="仿宋_GB2312" w:cs="Times New Roman"/>
          <w:sz w:val="32"/>
          <w:szCs w:val="32"/>
          <w:highlight w:val="none"/>
          <w:u w:val="none"/>
        </w:rPr>
        <w:t>等设施装备。加快建设国家大型大马力高端智能农机装备研发制造推广应用先导区，积极构建农机自动驾驶系统、精准作业控制系统和大数据服务平台。支持农机合作社发展向数量质量效益并重转型升级，稳步提升农机合作社作业能力。鼓励个人、合作社、企业和社会资本成立专业化农机服务合作社或公司、农机租赁公司、区域性农机修理公司，面向各类农业经营主体开展农机应用服务。到2030年，农机总动力达到55万千瓦，主要农作物耕种收综合机械化率达到99.2%。</w:t>
      </w:r>
    </w:p>
    <w:p w14:paraId="51115AA0">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color w:val="C00000"/>
          <w:sz w:val="32"/>
          <w:szCs w:val="32"/>
          <w:highlight w:val="none"/>
          <w:u w:val="none"/>
        </w:rPr>
      </w:pPr>
      <w:r>
        <w:rPr>
          <w:rFonts w:hint="default" w:ascii="Times New Roman" w:hAnsi="Times New Roman" w:eastAsia="仿宋_GB2312" w:cs="Times New Roman"/>
          <w:b/>
          <w:bCs/>
          <w:sz w:val="32"/>
          <w:szCs w:val="32"/>
          <w:highlight w:val="none"/>
          <w:u w:val="none"/>
        </w:rPr>
        <w:t>完善农技推广体系。</w:t>
      </w:r>
      <w:bookmarkStart w:id="69" w:name="_Hlk56197234"/>
      <w:r>
        <w:rPr>
          <w:rFonts w:hint="default" w:ascii="Times New Roman" w:hAnsi="Times New Roman" w:eastAsia="仿宋_GB2312" w:cs="Times New Roman"/>
          <w:sz w:val="32"/>
          <w:szCs w:val="32"/>
          <w:highlight w:val="none"/>
          <w:u w:val="none"/>
        </w:rPr>
        <w:t>深入推行科技特派员制度，逐步完善农业科技研发、人才培养、技术服务、基地示范等体系建设。积极推广测土配方施肥，推动生物农药、生物肥料、新型动物疫苗、生物饲料添加剂以及植物生长调节剂的应用与产业化。支持无人机航化作业等种植管理技术，推广自动驾驶拖拉机、智能收割机等装备，实现耕、种、管、收全环节自动化，减少人力依赖并提升作业精度</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加快主要粮食作物新一轮优质良种更新换代</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kern w:val="2"/>
          <w:sz w:val="32"/>
          <w:szCs w:val="32"/>
          <w:highlight w:val="none"/>
          <w:u w:val="none"/>
          <w:lang w:val="en-US" w:eastAsia="zh-CN" w:bidi="ar-SA"/>
        </w:rPr>
        <w:t>推广“佳豆”系列优良品种与大垄密植、水肥一体化技术，重点选育耐密抗倒、宜机收的高淀粉、低毒素玉米品种。</w:t>
      </w:r>
      <w:r>
        <w:rPr>
          <w:rFonts w:hint="default" w:ascii="Times New Roman" w:hAnsi="Times New Roman" w:eastAsia="仿宋_GB2312" w:cs="Times New Roman"/>
          <w:sz w:val="32"/>
          <w:szCs w:val="32"/>
          <w:highlight w:val="none"/>
          <w:u w:val="none"/>
        </w:rPr>
        <w:t>积极组织科普之冬、农村科普大集等活动，有效提升农业科普质量。在全区建立农业、林业、农机、水产、畜牧等专家科技服务团队。到2030年，力争农业技术服务全覆盖。</w:t>
      </w:r>
    </w:p>
    <w:p w14:paraId="720000C7">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提升农业信息化水平。</w:t>
      </w:r>
      <w:bookmarkEnd w:id="69"/>
      <w:r>
        <w:rPr>
          <w:rFonts w:hint="default" w:ascii="Times New Roman" w:hAnsi="Times New Roman" w:eastAsia="仿宋_GB2312" w:cs="Times New Roman"/>
          <w:sz w:val="32"/>
          <w:szCs w:val="32"/>
          <w:highlight w:val="none"/>
          <w:u w:val="none"/>
        </w:rPr>
        <w:t>建立和完善绿色农业数字化体系，加快物联网、区块链、5G、人工智能等现代信息技术在数字农业、精准农业、产业化经营等领域中的应用，重点加快蔬菜大棚、养殖场、育种车间的数字化改造</w:t>
      </w:r>
      <w:bookmarkStart w:id="70" w:name="_Hlk46690729"/>
      <w:r>
        <w:rPr>
          <w:rFonts w:hint="default" w:ascii="Times New Roman" w:hAnsi="Times New Roman" w:eastAsia="仿宋_GB2312" w:cs="Times New Roman"/>
          <w:sz w:val="32"/>
          <w:szCs w:val="32"/>
          <w:highlight w:val="none"/>
          <w:u w:val="none"/>
        </w:rPr>
        <w:t>。谋划建设智慧农业</w:t>
      </w:r>
      <w:bookmarkEnd w:id="70"/>
      <w:r>
        <w:rPr>
          <w:rFonts w:hint="default" w:ascii="Times New Roman" w:hAnsi="Times New Roman" w:eastAsia="仿宋_GB2312" w:cs="Times New Roman"/>
          <w:sz w:val="32"/>
          <w:szCs w:val="32"/>
          <w:highlight w:val="none"/>
          <w:u w:val="none"/>
        </w:rPr>
        <w:t>核心示范区，部署土壤墒情监测仪、作物生长传感器、虫情测报灯等物联网设备，积极接入北斗农机自动驾驶系统。探索建立耕地数字身份证，对农田有机质动态监测。完善农业信息服务功能，建立和完善气象灾害、生物灾害等防灾减灾体系，强化预测、预警和应急处置功能，不断扩大农业信息化覆盖面。</w:t>
      </w:r>
    </w:p>
    <w:p w14:paraId="0A04B145">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实施绿色农业生产方式。</w:t>
      </w:r>
      <w:r>
        <w:rPr>
          <w:rFonts w:hint="default" w:ascii="Times New Roman" w:hAnsi="Times New Roman" w:eastAsia="仿宋_GB2312" w:cs="Times New Roman"/>
          <w:sz w:val="32"/>
          <w:szCs w:val="32"/>
          <w:highlight w:val="none"/>
          <w:u w:val="none"/>
        </w:rPr>
        <w:t>加快构建低碳生态循环的绿色农业技术体系</w:t>
      </w:r>
      <w:bookmarkStart w:id="71" w:name="_Hlk51180757"/>
      <w:bookmarkStart w:id="72" w:name="_Hlk51181208"/>
      <w:bookmarkStart w:id="73" w:name="_Hlk54117879"/>
      <w:r>
        <w:rPr>
          <w:rFonts w:hint="default" w:ascii="Times New Roman" w:hAnsi="Times New Roman" w:eastAsia="仿宋_GB2312" w:cs="Times New Roman"/>
          <w:sz w:val="32"/>
          <w:szCs w:val="32"/>
          <w:highlight w:val="none"/>
          <w:u w:val="none"/>
        </w:rPr>
        <w:t>。推进农业生产标准化，打造</w:t>
      </w:r>
      <w:r>
        <w:rPr>
          <w:rFonts w:hint="eastAsia" w:ascii="Times New Roman" w:hAnsi="Times New Roman" w:eastAsia="仿宋_GB2312" w:cs="Times New Roman"/>
          <w:sz w:val="32"/>
          <w:szCs w:val="32"/>
          <w:highlight w:val="none"/>
          <w:u w:val="none"/>
          <w:lang w:eastAsia="zh-CN"/>
        </w:rPr>
        <w:t>全国绿色食品原料标准化</w:t>
      </w:r>
      <w:r>
        <w:rPr>
          <w:rFonts w:hint="default" w:ascii="Times New Roman" w:hAnsi="Times New Roman" w:eastAsia="仿宋_GB2312" w:cs="Times New Roman"/>
          <w:sz w:val="32"/>
          <w:szCs w:val="32"/>
          <w:highlight w:val="none"/>
          <w:u w:val="none"/>
        </w:rPr>
        <w:t>基地，扩大优质安全的绿色、有机农产品种植规模，积极组织农民专业合作社、农业企业开展绿色有机认证。完善信息化监管平台，用好黑龙江省农产品质量追溯平台，加快建立质量技术检验检测体系，形成政府监管、企业自律、农民自觉的农产品安全管控机制，构建从农田到餐桌的农产品质量安全全过程监管体系。加强农业综合行政执法能力建设，严格执行农兽药安全、饲料安全、畜禽废弃物资源化利用等标准与规范，建设绿色农资供应体系。</w:t>
      </w:r>
      <w:bookmarkEnd w:id="71"/>
      <w:bookmarkEnd w:id="72"/>
      <w:bookmarkEnd w:id="73"/>
      <w:r>
        <w:rPr>
          <w:rFonts w:hint="default" w:ascii="Times New Roman" w:hAnsi="Times New Roman" w:eastAsia="仿宋_GB2312" w:cs="Times New Roman"/>
          <w:sz w:val="32"/>
          <w:szCs w:val="32"/>
          <w:highlight w:val="none"/>
          <w:u w:val="none"/>
        </w:rPr>
        <w:t>推行有机肥替代化肥行动，推广粪污就地就近全量还田模式，加强畜禽粪污资源化利用。到2030年，畜禽粪污综合利用率达到</w:t>
      </w:r>
      <w:r>
        <w:rPr>
          <w:rFonts w:hint="default" w:ascii="Times New Roman" w:hAnsi="Times New Roman" w:eastAsia="仿宋_GB2312" w:cs="Times New Roman"/>
          <w:sz w:val="32"/>
          <w:szCs w:val="32"/>
          <w:highlight w:val="none"/>
          <w:u w:val="none"/>
          <w:lang w:val="en-US" w:eastAsia="zh-CN"/>
        </w:rPr>
        <w:t>85</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，测土配方施肥技术覆盖率达到100%。</w:t>
      </w:r>
    </w:p>
    <w:tbl>
      <w:tblPr>
        <w:tblStyle w:val="30"/>
        <w:tblW w:w="8787"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801"/>
        <w:gridCol w:w="6986"/>
      </w:tblGrid>
      <w:tr w14:paraId="416980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3" w:hRule="atLeast"/>
          <w:jc w:val="center"/>
        </w:trPr>
        <w:tc>
          <w:tcPr>
            <w:tcW w:w="8787" w:type="dxa"/>
            <w:gridSpan w:val="2"/>
            <w:tcBorders>
              <w:top w:val="single" w:color="auto" w:sz="12" w:space="0"/>
              <w:bottom w:val="single" w:color="auto" w:sz="4" w:space="0"/>
            </w:tcBorders>
          </w:tcPr>
          <w:p w14:paraId="711157F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专栏10 农业高质量发展重大工程</w:t>
            </w:r>
          </w:p>
        </w:tc>
      </w:tr>
      <w:tr w14:paraId="505AC0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0" w:hRule="atLeast"/>
          <w:jc w:val="center"/>
        </w:trPr>
        <w:tc>
          <w:tcPr>
            <w:tcW w:w="1801" w:type="dxa"/>
            <w:tcBorders>
              <w:top w:val="single" w:color="auto" w:sz="4" w:space="0"/>
              <w:right w:val="single" w:color="auto" w:sz="4" w:space="0"/>
            </w:tcBorders>
          </w:tcPr>
          <w:p w14:paraId="076F635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名称</w:t>
            </w:r>
          </w:p>
        </w:tc>
        <w:tc>
          <w:tcPr>
            <w:tcW w:w="6986" w:type="dxa"/>
            <w:tcBorders>
              <w:top w:val="single" w:color="auto" w:sz="4" w:space="0"/>
              <w:left w:val="single" w:color="auto" w:sz="4" w:space="0"/>
            </w:tcBorders>
          </w:tcPr>
          <w:p w14:paraId="57436A8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重点项目</w:t>
            </w:r>
          </w:p>
        </w:tc>
      </w:tr>
      <w:tr w14:paraId="453E4E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801" w:type="dxa"/>
            <w:tcBorders>
              <w:right w:val="single" w:color="auto" w:sz="4" w:space="0"/>
            </w:tcBorders>
            <w:vAlign w:val="center"/>
          </w:tcPr>
          <w:p w14:paraId="4493A620">
            <w:pPr>
              <w:jc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黑土地保护工程</w:t>
            </w:r>
          </w:p>
        </w:tc>
        <w:tc>
          <w:tcPr>
            <w:tcW w:w="6986" w:type="dxa"/>
            <w:tcBorders>
              <w:left w:val="single" w:color="auto" w:sz="4" w:space="0"/>
            </w:tcBorders>
            <w:vAlign w:val="center"/>
          </w:tcPr>
          <w:p w14:paraId="6F5905BE">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推进佳木斯市郊区高标准农田建设（2026</w:t>
            </w:r>
            <w:r>
              <w:rPr>
                <w:rFonts w:hint="eastAsia" w:ascii="Times New Roman" w:hAnsi="Times New Roman" w:eastAsia="宋体" w:cs="Times New Roman"/>
                <w:color w:val="000000"/>
                <w:sz w:val="24"/>
                <w:szCs w:val="24"/>
                <w:highlight w:val="none"/>
                <w:u w:val="none"/>
                <w:lang w:eastAsia="zh-CN"/>
              </w:rPr>
              <w:t>—</w:t>
            </w:r>
            <w:r>
              <w:rPr>
                <w:rFonts w:hint="default" w:ascii="Times New Roman" w:hAnsi="Times New Roman" w:eastAsia="宋体" w:cs="Times New Roman"/>
                <w:color w:val="000000"/>
                <w:sz w:val="24"/>
                <w:szCs w:val="24"/>
                <w:highlight w:val="none"/>
                <w:u w:val="none"/>
              </w:rPr>
              <w:t>2030</w:t>
            </w:r>
            <w:r>
              <w:rPr>
                <w:rFonts w:hint="default" w:ascii="Times New Roman" w:hAnsi="Times New Roman" w:eastAsia="宋体" w:cs="Times New Roman"/>
                <w:color w:val="000000"/>
                <w:sz w:val="24"/>
                <w:szCs w:val="24"/>
                <w:highlight w:val="none"/>
                <w:u w:val="none"/>
                <w:lang w:val="en-US" w:eastAsia="zh-CN"/>
              </w:rPr>
              <w:t>年</w:t>
            </w:r>
            <w:r>
              <w:rPr>
                <w:rFonts w:hint="default" w:ascii="Times New Roman" w:hAnsi="Times New Roman" w:eastAsia="宋体" w:cs="Times New Roman"/>
                <w:color w:val="000000"/>
                <w:sz w:val="24"/>
                <w:szCs w:val="24"/>
                <w:highlight w:val="none"/>
                <w:u w:val="none"/>
              </w:rPr>
              <w:t>）项目。到2030年，</w:t>
            </w:r>
            <w:r>
              <w:rPr>
                <w:rFonts w:hint="default" w:ascii="Times New Roman" w:hAnsi="Times New Roman" w:eastAsia="宋体" w:cs="Times New Roman"/>
                <w:color w:val="000000"/>
                <w:sz w:val="24"/>
                <w:szCs w:val="24"/>
                <w:highlight w:val="none"/>
                <w:u w:val="none"/>
                <w:lang w:val="en-US" w:eastAsia="zh-CN"/>
              </w:rPr>
              <w:t>将</w:t>
            </w:r>
            <w:r>
              <w:rPr>
                <w:rFonts w:hint="default" w:ascii="Times New Roman" w:hAnsi="Times New Roman" w:eastAsia="宋体" w:cs="Times New Roman"/>
                <w:color w:val="000000"/>
                <w:sz w:val="24"/>
                <w:szCs w:val="24"/>
                <w:highlight w:val="none"/>
                <w:u w:val="none"/>
              </w:rPr>
              <w:t>全区</w:t>
            </w:r>
            <w:r>
              <w:rPr>
                <w:rFonts w:hint="default" w:ascii="Times New Roman" w:hAnsi="Times New Roman" w:eastAsia="宋体" w:cs="Times New Roman"/>
                <w:color w:val="000000"/>
                <w:sz w:val="24"/>
                <w:szCs w:val="24"/>
                <w:highlight w:val="none"/>
                <w:u w:val="none"/>
                <w:lang w:val="en-US" w:eastAsia="zh-CN"/>
              </w:rPr>
              <w:t>符合条件的</w:t>
            </w:r>
            <w:r>
              <w:rPr>
                <w:rFonts w:hint="default" w:ascii="Times New Roman" w:hAnsi="Times New Roman" w:eastAsia="宋体" w:cs="Times New Roman"/>
                <w:color w:val="000000"/>
                <w:sz w:val="24"/>
                <w:szCs w:val="24"/>
                <w:highlight w:val="none"/>
                <w:u w:val="none"/>
              </w:rPr>
              <w:t>基本农田全部建成高标准农田。</w:t>
            </w:r>
          </w:p>
        </w:tc>
      </w:tr>
      <w:tr w14:paraId="52220DA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801" w:type="dxa"/>
            <w:tcBorders>
              <w:right w:val="single" w:color="auto" w:sz="4" w:space="0"/>
            </w:tcBorders>
            <w:vAlign w:val="center"/>
          </w:tcPr>
          <w:p w14:paraId="02507DC8">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农田水利工程</w:t>
            </w:r>
          </w:p>
        </w:tc>
        <w:tc>
          <w:tcPr>
            <w:tcW w:w="6986" w:type="dxa"/>
            <w:tcBorders>
              <w:left w:val="single" w:color="auto" w:sz="4" w:space="0"/>
            </w:tcBorders>
            <w:vAlign w:val="center"/>
          </w:tcPr>
          <w:p w14:paraId="64F62624">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推进灌区节水配套改造项目、抗旱应急水源工程、小型农田水利工程设施建设工程等项目建设。到2030年，农田灌溉水有效利用系数提高到0.624以上。</w:t>
            </w:r>
          </w:p>
        </w:tc>
      </w:tr>
      <w:tr w14:paraId="140C32C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801" w:type="dxa"/>
            <w:tcBorders>
              <w:right w:val="single" w:color="auto" w:sz="4" w:space="0"/>
            </w:tcBorders>
            <w:vAlign w:val="center"/>
          </w:tcPr>
          <w:p w14:paraId="7F733AC0">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农业生产重大工程</w:t>
            </w:r>
          </w:p>
        </w:tc>
        <w:tc>
          <w:tcPr>
            <w:tcW w:w="6986" w:type="dxa"/>
            <w:tcBorders>
              <w:left w:val="single" w:color="auto" w:sz="4" w:space="0"/>
            </w:tcBorders>
            <w:vAlign w:val="center"/>
          </w:tcPr>
          <w:p w14:paraId="02A1CB98">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lang w:val="en-US" w:eastAsia="zh-CN"/>
              </w:rPr>
              <w:t>推进</w:t>
            </w:r>
            <w:r>
              <w:rPr>
                <w:rFonts w:hint="default" w:ascii="Times New Roman" w:hAnsi="Times New Roman" w:eastAsia="宋体" w:cs="Times New Roman"/>
                <w:color w:val="000000"/>
                <w:sz w:val="24"/>
                <w:szCs w:val="24"/>
                <w:highlight w:val="none"/>
                <w:u w:val="none"/>
              </w:rPr>
              <w:t>绿色水稻高产高效推进县项目、佳木斯市郊区智慧农业及城乡通信微管廊项目。</w:t>
            </w:r>
          </w:p>
        </w:tc>
      </w:tr>
      <w:tr w14:paraId="013911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801" w:type="dxa"/>
            <w:tcBorders>
              <w:right w:val="single" w:color="auto" w:sz="4" w:space="0"/>
            </w:tcBorders>
            <w:vAlign w:val="center"/>
          </w:tcPr>
          <w:p w14:paraId="3305BF3D">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农业机械现代化工程</w:t>
            </w:r>
          </w:p>
        </w:tc>
        <w:tc>
          <w:tcPr>
            <w:tcW w:w="6986" w:type="dxa"/>
            <w:tcBorders>
              <w:left w:val="single" w:color="auto" w:sz="4" w:space="0"/>
            </w:tcBorders>
            <w:vAlign w:val="center"/>
          </w:tcPr>
          <w:p w14:paraId="7E864CB1">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到2030年，农机总动力力争达55万千瓦，农业生产综合机械化率保持在99.2%以上。</w:t>
            </w:r>
          </w:p>
        </w:tc>
      </w:tr>
      <w:tr w14:paraId="0712F81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801" w:type="dxa"/>
            <w:tcBorders>
              <w:right w:val="single" w:color="auto" w:sz="4" w:space="0"/>
            </w:tcBorders>
            <w:vAlign w:val="center"/>
          </w:tcPr>
          <w:p w14:paraId="05699D95">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农业技术推广工程</w:t>
            </w:r>
          </w:p>
        </w:tc>
        <w:tc>
          <w:tcPr>
            <w:tcW w:w="6986" w:type="dxa"/>
            <w:tcBorders>
              <w:left w:val="single" w:color="auto" w:sz="4" w:space="0"/>
            </w:tcBorders>
            <w:vAlign w:val="center"/>
          </w:tcPr>
          <w:p w14:paraId="3FCF1986">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 xml:space="preserve">实施大豆良种繁育基地、水稻良种繁育基地等建设项目，到2030年，农业良种覆盖率稳定在100%，累计建成5个省级现代农业科技示范基地。 </w:t>
            </w:r>
          </w:p>
        </w:tc>
      </w:tr>
      <w:tr w14:paraId="7A36AA6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44" w:hRule="atLeast"/>
          <w:jc w:val="center"/>
        </w:trPr>
        <w:tc>
          <w:tcPr>
            <w:tcW w:w="1801" w:type="dxa"/>
            <w:tcBorders>
              <w:right w:val="single" w:color="auto" w:sz="4" w:space="0"/>
            </w:tcBorders>
            <w:vAlign w:val="center"/>
          </w:tcPr>
          <w:p w14:paraId="7DC44CBD">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农产品质量安全追溯体系</w:t>
            </w:r>
          </w:p>
        </w:tc>
        <w:tc>
          <w:tcPr>
            <w:tcW w:w="6986" w:type="dxa"/>
            <w:tcBorders>
              <w:left w:val="single" w:color="auto" w:sz="4" w:space="0"/>
            </w:tcBorders>
            <w:vAlign w:val="center"/>
          </w:tcPr>
          <w:p w14:paraId="6EC0EC50">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实施郊区动物疫病预防控制中心实验室改扩建项目等。到2030年，区域内绿色食品生产企业全部在黑龙江省农产品质量追溯平台完成注册备案。</w:t>
            </w:r>
          </w:p>
        </w:tc>
      </w:tr>
    </w:tbl>
    <w:p w14:paraId="1E35110F">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74" w:name="_Toc216985872"/>
      <w:r>
        <w:rPr>
          <w:rFonts w:hint="default" w:ascii="Times New Roman" w:hAnsi="Times New Roman" w:eastAsia="黑体" w:cs="Times New Roman"/>
          <w:b w:val="0"/>
          <w:bCs w:val="0"/>
          <w:highlight w:val="none"/>
          <w:u w:val="none"/>
          <w:lang w:val="zh-CN"/>
        </w:rPr>
        <w:t>三、构建</w:t>
      </w:r>
      <w:r>
        <w:rPr>
          <w:rFonts w:hint="eastAsia" w:ascii="Times New Roman" w:hAnsi="Times New Roman" w:eastAsia="黑体" w:cs="Times New Roman"/>
          <w:b w:val="0"/>
          <w:bCs w:val="0"/>
          <w:highlight w:val="none"/>
          <w:u w:val="none"/>
          <w:lang w:val="zh-CN"/>
        </w:rPr>
        <w:t>现代农业经营体系</w:t>
      </w:r>
      <w:bookmarkEnd w:id="74"/>
    </w:p>
    <w:p w14:paraId="74DC30DB">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b/>
          <w:kern w:val="0"/>
          <w:sz w:val="32"/>
          <w:szCs w:val="32"/>
          <w:highlight w:val="none"/>
          <w:u w:val="none"/>
        </w:rPr>
        <w:t>推动农业产业融合发展。</w:t>
      </w:r>
      <w:r>
        <w:rPr>
          <w:rFonts w:hint="default" w:ascii="Times New Roman" w:hAnsi="Times New Roman" w:eastAsia="仿宋_GB2312" w:cs="Times New Roman"/>
          <w:kern w:val="0"/>
          <w:sz w:val="32"/>
          <w:szCs w:val="32"/>
          <w:highlight w:val="none"/>
          <w:u w:val="none"/>
        </w:rPr>
        <w:t xml:space="preserve">推进农业与旅游、教育、文化、科技、康养等产业深度融合发展，深入发掘生态涵养、休闲观光、文化体验、健康养老等多种功能和多重价值，积极创建各类农村产业融合发展示范基地。推动农文旅融合，实施休闲农业和乡村休闲旅游精品工程，积极发展共享农庄、体验农场、创意农业和特色文化产业等新业态，持续办好采花节、登山节等特色节庆活动，推广分享农业、众筹农业等基于互联网的新型农业产业模式，加快推进乡村产业振兴。 </w:t>
      </w:r>
    </w:p>
    <w:p w14:paraId="3E4B3B8B">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b/>
          <w:kern w:val="0"/>
          <w:sz w:val="32"/>
          <w:szCs w:val="32"/>
          <w:highlight w:val="none"/>
          <w:u w:val="none"/>
        </w:rPr>
        <w:t>拓展农产品营销渠道。</w:t>
      </w:r>
      <w:r>
        <w:rPr>
          <w:rFonts w:hint="default" w:ascii="Times New Roman" w:hAnsi="Times New Roman" w:eastAsia="仿宋_GB2312" w:cs="Times New Roman"/>
          <w:kern w:val="0"/>
          <w:sz w:val="32"/>
          <w:szCs w:val="32"/>
          <w:highlight w:val="none"/>
          <w:u w:val="none"/>
        </w:rPr>
        <w:t>主动顺应“互联网+”发展趋势，</w:t>
      </w:r>
      <w:bookmarkStart w:id="75" w:name="_Hlk63096973"/>
      <w:r>
        <w:rPr>
          <w:rFonts w:hint="default" w:ascii="Times New Roman" w:hAnsi="Times New Roman" w:eastAsia="仿宋_GB2312" w:cs="Times New Roman"/>
          <w:kern w:val="0"/>
          <w:sz w:val="32"/>
          <w:szCs w:val="32"/>
          <w:highlight w:val="none"/>
          <w:u w:val="none"/>
        </w:rPr>
        <w:t>推进农产品电子商务平台和乡村电商服务站点建设，发展壮大农业“淘宝”“网红”经济，形成线上线下双向流通格局。实施农产品统一营销策略，把郊区农产品推向高端市场，紧盯京津冀、长三角、珠三角等高端消费市场，通过大型商超、机场特产店、便利店等渠道，</w:t>
      </w:r>
      <w:bookmarkStart w:id="76" w:name="_Hlk56264362"/>
      <w:r>
        <w:rPr>
          <w:rFonts w:hint="default" w:ascii="Times New Roman" w:hAnsi="Times New Roman" w:eastAsia="仿宋_GB2312" w:cs="Times New Roman"/>
          <w:kern w:val="0"/>
          <w:sz w:val="32"/>
          <w:szCs w:val="32"/>
          <w:highlight w:val="none"/>
          <w:u w:val="none"/>
        </w:rPr>
        <w:t>经销郊区绿色农产品。</w:t>
      </w:r>
      <w:bookmarkStart w:id="77" w:name="_Hlk207613523"/>
      <w:r>
        <w:rPr>
          <w:rFonts w:hint="default" w:ascii="Times New Roman" w:hAnsi="Times New Roman" w:eastAsia="仿宋_GB2312" w:cs="Times New Roman"/>
          <w:kern w:val="0"/>
          <w:sz w:val="32"/>
          <w:szCs w:val="32"/>
          <w:highlight w:val="none"/>
          <w:u w:val="none"/>
        </w:rPr>
        <w:t>到2030年，农产品网络销售额达到10万吨以上。</w:t>
      </w:r>
    </w:p>
    <w:bookmarkEnd w:id="75"/>
    <w:bookmarkEnd w:id="76"/>
    <w:bookmarkEnd w:id="77"/>
    <w:p w14:paraId="6738123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b/>
          <w:kern w:val="0"/>
          <w:sz w:val="32"/>
          <w:szCs w:val="32"/>
          <w:highlight w:val="none"/>
          <w:u w:val="none"/>
        </w:rPr>
        <w:t>推进农产品品牌建设。</w:t>
      </w:r>
      <w:r>
        <w:rPr>
          <w:rFonts w:hint="default" w:ascii="Times New Roman" w:hAnsi="Times New Roman" w:eastAsia="仿宋_GB2312" w:cs="Times New Roman"/>
          <w:kern w:val="0"/>
          <w:sz w:val="32"/>
          <w:szCs w:val="32"/>
          <w:highlight w:val="none"/>
          <w:u w:val="none"/>
        </w:rPr>
        <w:t>实施农产品品牌化战略，对企业在财政扶持、金融服务、技术指导、市场推介等方面给予扶持，支持具备条件的农产品加工企业争取省政府有关品牌培育奖励资金。鼓励新型经营主体等生产经营者参与创建名企、名品、名牌，做强</w:t>
      </w:r>
      <w:r>
        <w:rPr>
          <w:rFonts w:hint="eastAsia" w:ascii="Times New Roman" w:hAnsi="Times New Roman" w:eastAsia="仿宋_GB2312" w:cs="Times New Roman"/>
          <w:kern w:val="0"/>
          <w:sz w:val="32"/>
          <w:szCs w:val="32"/>
          <w:highlight w:val="none"/>
          <w:u w:val="none"/>
          <w:lang w:val="en-US" w:eastAsia="zh-CN"/>
        </w:rPr>
        <w:t>特</w:t>
      </w:r>
      <w:r>
        <w:rPr>
          <w:rFonts w:hint="default" w:ascii="Times New Roman" w:hAnsi="Times New Roman" w:eastAsia="仿宋_GB2312" w:cs="Times New Roman"/>
          <w:kern w:val="0"/>
          <w:sz w:val="32"/>
          <w:szCs w:val="32"/>
          <w:highlight w:val="none"/>
          <w:u w:val="none"/>
        </w:rPr>
        <w:t>色品牌，支持涉农企业与合作社积极融入“日出东极”区域公共品牌建设，全力打造“郊宝贝”区域品牌价值和经济效益，力争更多林下产品进入森林标志产品“九珍十八品”名录。加强品牌宣传和营销平台建设，利用各种宣传媒介，做好农产品展示展销和推介销售活动，组织参加重点国际性展会，提升农产品品牌影响力和市场竞争力。到2030年，全区“黑土优品”“九珍十八品”标识超过17个，绿色食品认证总数达到60个以上，</w:t>
      </w:r>
      <w:r>
        <w:rPr>
          <w:rFonts w:hint="eastAsia" w:ascii="Times New Roman" w:hAnsi="Times New Roman" w:eastAsia="仿宋_GB2312" w:cs="Times New Roman"/>
          <w:kern w:val="0"/>
          <w:sz w:val="32"/>
          <w:szCs w:val="32"/>
          <w:highlight w:val="none"/>
          <w:u w:val="none"/>
          <w:lang w:val="en-US" w:eastAsia="zh-CN"/>
        </w:rPr>
        <w:t>分别</w:t>
      </w:r>
      <w:r>
        <w:rPr>
          <w:rFonts w:hint="default" w:ascii="Times New Roman" w:hAnsi="Times New Roman" w:eastAsia="仿宋_GB2312" w:cs="Times New Roman"/>
          <w:kern w:val="0"/>
          <w:sz w:val="32"/>
          <w:szCs w:val="32"/>
          <w:highlight w:val="none"/>
          <w:u w:val="none"/>
        </w:rPr>
        <w:t>建设水稻</w:t>
      </w:r>
      <w:r>
        <w:rPr>
          <w:rFonts w:hint="eastAsia" w:ascii="Times New Roman" w:hAnsi="Times New Roman" w:eastAsia="仿宋_GB2312" w:cs="Times New Roman"/>
          <w:kern w:val="0"/>
          <w:sz w:val="32"/>
          <w:szCs w:val="32"/>
          <w:highlight w:val="none"/>
          <w:u w:val="none"/>
          <w:lang w:eastAsia="zh-CN"/>
        </w:rPr>
        <w:t>、</w:t>
      </w:r>
      <w:r>
        <w:rPr>
          <w:rFonts w:hint="default" w:ascii="Times New Roman" w:hAnsi="Times New Roman" w:eastAsia="仿宋_GB2312" w:cs="Times New Roman"/>
          <w:kern w:val="0"/>
          <w:sz w:val="32"/>
          <w:szCs w:val="32"/>
          <w:highlight w:val="none"/>
          <w:u w:val="none"/>
        </w:rPr>
        <w:t>玉米</w:t>
      </w:r>
      <w:r>
        <w:rPr>
          <w:rFonts w:hint="eastAsia" w:ascii="Times New Roman" w:hAnsi="Times New Roman" w:eastAsia="仿宋_GB2312" w:cs="Times New Roman"/>
          <w:kern w:val="0"/>
          <w:sz w:val="32"/>
          <w:szCs w:val="32"/>
          <w:highlight w:val="none"/>
          <w:u w:val="none"/>
          <w:lang w:eastAsia="zh-CN"/>
        </w:rPr>
        <w:t>、</w:t>
      </w:r>
      <w:r>
        <w:rPr>
          <w:rFonts w:hint="default" w:ascii="Times New Roman" w:hAnsi="Times New Roman" w:eastAsia="仿宋_GB2312" w:cs="Times New Roman"/>
          <w:kern w:val="0"/>
          <w:sz w:val="32"/>
          <w:szCs w:val="32"/>
          <w:highlight w:val="none"/>
          <w:u w:val="none"/>
        </w:rPr>
        <w:t>大豆全国绿色食品原料标准化生产基地50万亩</w:t>
      </w:r>
      <w:r>
        <w:rPr>
          <w:rFonts w:hint="default" w:ascii="Times New Roman" w:hAnsi="Times New Roman" w:eastAsia="仿宋_GB2312" w:cs="Times New Roman"/>
          <w:kern w:val="0"/>
          <w:sz w:val="32"/>
          <w:szCs w:val="32"/>
          <w:highlight w:val="none"/>
          <w:u w:val="none"/>
          <w:lang w:val="en-US" w:eastAsia="zh-CN"/>
        </w:rPr>
        <w:t>以上</w:t>
      </w:r>
      <w:r>
        <w:rPr>
          <w:rFonts w:hint="default" w:ascii="Times New Roman" w:hAnsi="Times New Roman" w:eastAsia="仿宋_GB2312" w:cs="Times New Roman"/>
          <w:kern w:val="0"/>
          <w:sz w:val="32"/>
          <w:szCs w:val="32"/>
          <w:highlight w:val="none"/>
          <w:u w:val="none"/>
        </w:rPr>
        <w:t>、20万亩</w:t>
      </w:r>
      <w:r>
        <w:rPr>
          <w:rFonts w:hint="eastAsia" w:ascii="Times New Roman" w:hAnsi="Times New Roman" w:eastAsia="仿宋_GB2312" w:cs="Times New Roman"/>
          <w:kern w:val="0"/>
          <w:sz w:val="32"/>
          <w:szCs w:val="32"/>
          <w:highlight w:val="none"/>
          <w:u w:val="none"/>
          <w:lang w:val="en-US" w:eastAsia="zh-CN"/>
        </w:rPr>
        <w:t>以上</w:t>
      </w:r>
      <w:r>
        <w:rPr>
          <w:rFonts w:hint="default" w:ascii="Times New Roman" w:hAnsi="Times New Roman" w:eastAsia="仿宋_GB2312" w:cs="Times New Roman"/>
          <w:kern w:val="0"/>
          <w:sz w:val="32"/>
          <w:szCs w:val="32"/>
          <w:highlight w:val="none"/>
          <w:u w:val="none"/>
        </w:rPr>
        <w:t>、10万亩</w:t>
      </w:r>
      <w:r>
        <w:rPr>
          <w:rFonts w:hint="eastAsia" w:ascii="Times New Roman" w:hAnsi="Times New Roman" w:eastAsia="仿宋_GB2312" w:cs="Times New Roman"/>
          <w:kern w:val="0"/>
          <w:sz w:val="32"/>
          <w:szCs w:val="32"/>
          <w:highlight w:val="none"/>
          <w:u w:val="none"/>
          <w:lang w:val="en-US" w:eastAsia="zh-CN"/>
        </w:rPr>
        <w:t>以上</w:t>
      </w:r>
      <w:r>
        <w:rPr>
          <w:rFonts w:hint="default" w:ascii="Times New Roman" w:hAnsi="Times New Roman" w:eastAsia="仿宋_GB2312" w:cs="Times New Roman"/>
          <w:kern w:val="0"/>
          <w:sz w:val="32"/>
          <w:szCs w:val="32"/>
          <w:highlight w:val="none"/>
          <w:u w:val="none"/>
        </w:rPr>
        <w:t>。</w:t>
      </w:r>
    </w:p>
    <w:p w14:paraId="6D20D10D">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default" w:ascii="Times New Roman" w:hAnsi="Times New Roman" w:eastAsia="黑体" w:cs="Times New Roman"/>
          <w:b w:val="0"/>
          <w:bCs w:val="0"/>
          <w:highlight w:val="none"/>
          <w:u w:val="none"/>
          <w:lang w:val="zh-CN"/>
        </w:rPr>
      </w:pPr>
      <w:bookmarkStart w:id="78" w:name="_Toc216985873"/>
      <w:r>
        <w:rPr>
          <w:rFonts w:hint="default" w:ascii="Times New Roman" w:hAnsi="Times New Roman" w:eastAsia="黑体" w:cs="Times New Roman"/>
          <w:b w:val="0"/>
          <w:bCs w:val="0"/>
          <w:highlight w:val="none"/>
          <w:u w:val="none"/>
          <w:lang w:val="zh-CN"/>
        </w:rPr>
        <w:t>四、提升农业组织化程度</w:t>
      </w:r>
      <w:bookmarkEnd w:id="78"/>
    </w:p>
    <w:p w14:paraId="1F00DB95">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b/>
          <w:bCs/>
          <w:kern w:val="0"/>
          <w:sz w:val="32"/>
          <w:szCs w:val="32"/>
          <w:highlight w:val="none"/>
          <w:u w:val="none"/>
        </w:rPr>
        <w:t>培育多元化农村产业融合主体。</w:t>
      </w:r>
      <w:r>
        <w:rPr>
          <w:rFonts w:hint="default" w:ascii="Times New Roman" w:hAnsi="Times New Roman" w:eastAsia="仿宋_GB2312" w:cs="Times New Roman"/>
          <w:kern w:val="0"/>
          <w:sz w:val="32"/>
          <w:szCs w:val="32"/>
          <w:highlight w:val="none"/>
          <w:u w:val="none"/>
        </w:rPr>
        <w:t>发展农业适度规模经营，推动村集体经济组织、农民专业合作社、家庭农场、种粮大户等新型经营主体规范发展、产业化经营。加快推进土地规模化经营流转，推动“零散地块”向“连片大田”转变。促进农民合作社开展实体化运作，向初加工和流通延伸，推进粮食变饲料、变工业原料，带领广大农民以市场需求为导向，为养而种、为加工而种养。培育一批稳定发展、效益明显的家庭农场、种粮大户，鼓励开展农产品直销。支持村集体股份经济合作社以产业联动、定向帮扶等多种形式，辐射带动周边农村共同发展。支持引导农村青年、返乡农民工、农村大中专毕业生创办领办家庭农场、农民专业合作社和涉农企业。</w:t>
      </w:r>
    </w:p>
    <w:p w14:paraId="7EF4A058">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FF0000"/>
          <w:kern w:val="0"/>
          <w:sz w:val="32"/>
          <w:szCs w:val="32"/>
          <w:highlight w:val="none"/>
          <w:u w:val="none"/>
        </w:rPr>
      </w:pPr>
      <w:r>
        <w:rPr>
          <w:rFonts w:hint="default" w:ascii="Times New Roman" w:hAnsi="Times New Roman" w:eastAsia="仿宋_GB2312" w:cs="Times New Roman"/>
          <w:b/>
          <w:kern w:val="0"/>
          <w:sz w:val="32"/>
          <w:szCs w:val="32"/>
          <w:highlight w:val="none"/>
          <w:u w:val="none"/>
        </w:rPr>
        <w:t>培育农业产业化龙头企业。</w:t>
      </w:r>
      <w:r>
        <w:rPr>
          <w:rFonts w:hint="default" w:ascii="Times New Roman" w:hAnsi="Times New Roman" w:eastAsia="仿宋_GB2312" w:cs="Times New Roman"/>
          <w:kern w:val="0"/>
          <w:sz w:val="32"/>
          <w:szCs w:val="32"/>
          <w:highlight w:val="none"/>
          <w:u w:val="none"/>
        </w:rPr>
        <w:t>实施龙头企业带动战略，按照做大总量、培育品牌、集群发展的方向，促进加工型农业企业聚集发展，帮助企业创品牌，上规模，上水平。吸引民营资本、工商资本及其他社会资本投入农业产业化经营，着力推动一批辐射能力强、经济效益好的农业龙头型企业迅速崛起。到2030年，农业产业化龙头企业达20家</w:t>
      </w:r>
      <w:r>
        <w:rPr>
          <w:rFonts w:hint="default" w:ascii="Times New Roman" w:hAnsi="Times New Roman" w:eastAsia="仿宋_GB2312" w:cs="Times New Roman"/>
          <w:kern w:val="0"/>
          <w:sz w:val="32"/>
          <w:szCs w:val="32"/>
          <w:highlight w:val="none"/>
          <w:u w:val="none"/>
          <w:lang w:val="en-US" w:eastAsia="zh-CN"/>
        </w:rPr>
        <w:t>以上</w:t>
      </w:r>
      <w:r>
        <w:rPr>
          <w:rFonts w:hint="default" w:ascii="Times New Roman" w:hAnsi="Times New Roman" w:eastAsia="仿宋_GB2312" w:cs="Times New Roman"/>
          <w:kern w:val="0"/>
          <w:sz w:val="32"/>
          <w:szCs w:val="32"/>
          <w:highlight w:val="none"/>
          <w:u w:val="none"/>
        </w:rPr>
        <w:t>。</w:t>
      </w:r>
    </w:p>
    <w:p w14:paraId="09B8392C">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b/>
          <w:bCs/>
          <w:sz w:val="32"/>
          <w:szCs w:val="32"/>
          <w:highlight w:val="none"/>
          <w:u w:val="none"/>
        </w:rPr>
        <w:t>完善农业产业化利益联结机制。</w:t>
      </w:r>
      <w:r>
        <w:rPr>
          <w:rFonts w:hint="default" w:ascii="Times New Roman" w:hAnsi="Times New Roman" w:eastAsia="仿宋_GB2312" w:cs="Times New Roman"/>
          <w:kern w:val="0"/>
          <w:sz w:val="32"/>
          <w:szCs w:val="32"/>
          <w:highlight w:val="none"/>
          <w:u w:val="none"/>
        </w:rPr>
        <w:t>通过政策保障、主体培育、产销对接、技术支撑等创新举措，推动各类农业主体以“种养加销”合作机制、“全产业链”合作社模式、“社企合作”产业化发展模式等带动农产品种植、加工和销售。完善“持有资产+保底收益+效益分红”等利益联结机制，推进企业与基地、农户的一体化经营进程，实现标准化生产、信息化管理、品牌化运营，让农户分享更多全产业链增值收益。积极引导农业经营主体与农户发展订单农业，促进土地规模化、农业生产标准化，充分实现农业产业链延伸，价值链增值，农业增效，农民增收。到2030年，全区土地规模经营面积70万亩，新增土地托管面积20万亩以上。</w:t>
      </w:r>
    </w:p>
    <w:p w14:paraId="7B76015B">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健全农业社会化服务体系。</w:t>
      </w:r>
      <w:r>
        <w:rPr>
          <w:rFonts w:hint="default" w:ascii="Times New Roman" w:hAnsi="Times New Roman" w:eastAsia="仿宋_GB2312" w:cs="Times New Roman"/>
          <w:sz w:val="32"/>
          <w:szCs w:val="32"/>
          <w:highlight w:val="none"/>
          <w:u w:val="none"/>
        </w:rPr>
        <w:t>创新农业社会化服务方式，支持各类农业经营主体等开展代耕代种、土地托管等社会化服务。加快产权交易、农经信息、水利服务、物流服务等服务平台建设。采取政府订购、定向委托、奖励补助等方式，引导各类服务组织在农产品保鲜、贮运、加工、销售环节以及金融保险、信息服务等方面发挥更大作用，推动农业保险扩面、增品、提标。强化公益性服务机构建设，加强基层农技推广、植保、农产品质量安全监管、疫病防控等能力建设。激活民间资本，大力发展生产资料专项供应、种子繁育推广等专业化服务机构。扶持发展农民防汛抗旱专业队、专业技术协会、农民经纪人队伍。鼓励供销合作社拓展土地托管、农村合作金融、农村电子商务等经营服务领域，支持供销社领办专业合作社。</w:t>
      </w:r>
    </w:p>
    <w:p w14:paraId="791EFEFC">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加强高素质农民培育。</w:t>
      </w:r>
      <w:r>
        <w:rPr>
          <w:rFonts w:hint="default" w:ascii="Times New Roman" w:hAnsi="Times New Roman" w:eastAsia="仿宋_GB2312" w:cs="Times New Roman"/>
          <w:sz w:val="32"/>
          <w:szCs w:val="32"/>
          <w:highlight w:val="none"/>
          <w:u w:val="none"/>
        </w:rPr>
        <w:t>建立健全教育培训、规范管理的高素质农民培育体系。积极采取委托或政府购买服务的方式，</w:t>
      </w:r>
      <w:r>
        <w:rPr>
          <w:rFonts w:hint="eastAsia" w:ascii="Times New Roman" w:hAnsi="Times New Roman" w:eastAsia="仿宋_GB2312" w:cs="Times New Roman"/>
          <w:sz w:val="32"/>
          <w:szCs w:val="32"/>
          <w:highlight w:val="none"/>
          <w:u w:val="none"/>
          <w:lang w:val="en-US" w:eastAsia="zh-CN"/>
        </w:rPr>
        <w:t>聘</w:t>
      </w:r>
      <w:r>
        <w:rPr>
          <w:rFonts w:hint="default" w:ascii="Times New Roman" w:hAnsi="Times New Roman" w:eastAsia="仿宋_GB2312" w:cs="Times New Roman"/>
          <w:sz w:val="32"/>
          <w:szCs w:val="32"/>
          <w:highlight w:val="none"/>
          <w:u w:val="none"/>
        </w:rPr>
        <w:t>请专业机构、专家等开展点餐式教学技术培训，重点围绕农业生产、品牌创建、市场营销、企业管理等领域，培育一批综合素质高、生产经营能力强、主体作用明显的高素质农民。完善农民创业园、创业示范（实训）基地，增加创业农民实战能力。引导和鼓励农业龙头企业、农民合作社、农民专业技术协会等发挥自身优势参与教育培训工作。</w:t>
      </w:r>
    </w:p>
    <w:tbl>
      <w:tblPr>
        <w:tblStyle w:val="30"/>
        <w:tblW w:w="87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6986"/>
      </w:tblGrid>
      <w:tr w14:paraId="00B2F0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787" w:type="dxa"/>
            <w:gridSpan w:val="2"/>
          </w:tcPr>
          <w:p w14:paraId="3528FE5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专栏11 提升农业组织化重大工程</w:t>
            </w:r>
          </w:p>
        </w:tc>
      </w:tr>
      <w:tr w14:paraId="358E0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801" w:type="dxa"/>
          </w:tcPr>
          <w:p w14:paraId="6BB3F51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6986" w:type="dxa"/>
          </w:tcPr>
          <w:p w14:paraId="71CF376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57914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801" w:type="dxa"/>
            <w:vAlign w:val="center"/>
          </w:tcPr>
          <w:p w14:paraId="23A9A560">
            <w:pPr>
              <w:jc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培育新型农业主体</w:t>
            </w:r>
          </w:p>
        </w:tc>
        <w:tc>
          <w:tcPr>
            <w:tcW w:w="6986" w:type="dxa"/>
            <w:vAlign w:val="center"/>
          </w:tcPr>
          <w:p w14:paraId="3E3A2459">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到2030年，家庭农场发展到800个</w:t>
            </w:r>
            <w:r>
              <w:rPr>
                <w:rFonts w:hint="eastAsia" w:ascii="Times New Roman" w:hAnsi="Times New Roman" w:eastAsia="宋体" w:cs="Times New Roman"/>
                <w:color w:val="000000"/>
                <w:sz w:val="24"/>
                <w:szCs w:val="24"/>
                <w:highlight w:val="none"/>
                <w:u w:val="none"/>
                <w:lang w:val="en-US" w:eastAsia="zh-CN"/>
              </w:rPr>
              <w:t>以上</w:t>
            </w:r>
            <w:r>
              <w:rPr>
                <w:rFonts w:hint="default" w:ascii="Times New Roman" w:hAnsi="Times New Roman" w:eastAsia="宋体" w:cs="Times New Roman"/>
                <w:color w:val="000000"/>
                <w:sz w:val="24"/>
                <w:szCs w:val="24"/>
                <w:highlight w:val="none"/>
                <w:u w:val="none"/>
              </w:rPr>
              <w:t>，农业合作社发展到400家</w:t>
            </w:r>
            <w:r>
              <w:rPr>
                <w:rFonts w:hint="eastAsia" w:ascii="Times New Roman" w:hAnsi="Times New Roman" w:eastAsia="宋体" w:cs="Times New Roman"/>
                <w:color w:val="000000"/>
                <w:sz w:val="24"/>
                <w:szCs w:val="24"/>
                <w:highlight w:val="none"/>
                <w:u w:val="none"/>
                <w:lang w:val="en-US" w:eastAsia="zh-CN"/>
              </w:rPr>
              <w:t>以上</w:t>
            </w:r>
            <w:r>
              <w:rPr>
                <w:rFonts w:hint="default" w:ascii="Times New Roman" w:hAnsi="Times New Roman" w:eastAsia="宋体" w:cs="Times New Roman"/>
                <w:color w:val="000000"/>
                <w:sz w:val="24"/>
                <w:szCs w:val="24"/>
                <w:highlight w:val="none"/>
                <w:u w:val="none"/>
              </w:rPr>
              <w:t>，农业产业化龙头企业发展20个</w:t>
            </w:r>
            <w:r>
              <w:rPr>
                <w:rFonts w:hint="eastAsia" w:ascii="Times New Roman" w:hAnsi="Times New Roman" w:eastAsia="宋体" w:cs="Times New Roman"/>
                <w:color w:val="000000"/>
                <w:sz w:val="24"/>
                <w:szCs w:val="24"/>
                <w:highlight w:val="none"/>
                <w:u w:val="none"/>
                <w:lang w:val="en-US" w:eastAsia="zh-CN"/>
              </w:rPr>
              <w:t>以上</w:t>
            </w:r>
            <w:r>
              <w:rPr>
                <w:rFonts w:hint="default" w:ascii="Times New Roman" w:hAnsi="Times New Roman" w:eastAsia="宋体" w:cs="Times New Roman"/>
                <w:color w:val="000000"/>
                <w:sz w:val="24"/>
                <w:szCs w:val="24"/>
                <w:highlight w:val="none"/>
                <w:u w:val="none"/>
              </w:rPr>
              <w:t>。</w:t>
            </w:r>
          </w:p>
        </w:tc>
      </w:tr>
      <w:tr w14:paraId="540F1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801" w:type="dxa"/>
            <w:vAlign w:val="center"/>
          </w:tcPr>
          <w:p w14:paraId="7B69D839">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高素质农民培育体系</w:t>
            </w:r>
          </w:p>
        </w:tc>
        <w:tc>
          <w:tcPr>
            <w:tcW w:w="6986" w:type="dxa"/>
            <w:vAlign w:val="center"/>
          </w:tcPr>
          <w:p w14:paraId="2698EED5">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以普通农户、农民合作社负责人、家庭农场主、专业大户、专业技术人员、务农大学生等为重点，到2030年，力争培育高素质农民2500人以上。</w:t>
            </w:r>
          </w:p>
        </w:tc>
      </w:tr>
      <w:tr w14:paraId="6FF64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801" w:type="dxa"/>
            <w:vAlign w:val="center"/>
          </w:tcPr>
          <w:p w14:paraId="6240DFFD">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完善农业社会化服务体系</w:t>
            </w:r>
          </w:p>
        </w:tc>
        <w:tc>
          <w:tcPr>
            <w:tcW w:w="6986" w:type="dxa"/>
            <w:vAlign w:val="center"/>
          </w:tcPr>
          <w:p w14:paraId="6DDDC5B3">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鼓励各类农业经济主体开展代耕代种、联耕联种、统防统治、土地托管、代销代购、农机作业、储藏保鲜、代加工等服务。</w:t>
            </w:r>
          </w:p>
        </w:tc>
      </w:tr>
    </w:tbl>
    <w:p w14:paraId="56178F27">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79" w:name="_Toc216985874"/>
      <w:r>
        <w:rPr>
          <w:rFonts w:hint="default" w:ascii="Times New Roman" w:hAnsi="Times New Roman" w:eastAsia="黑体" w:cs="Times New Roman"/>
          <w:b w:val="0"/>
          <w:bCs w:val="0"/>
          <w:highlight w:val="none"/>
          <w:u w:val="none"/>
          <w:lang w:val="zh-CN"/>
        </w:rPr>
        <w:t>五、全面实施乡村振兴战略</w:t>
      </w:r>
      <w:bookmarkEnd w:id="79"/>
    </w:p>
    <w:p w14:paraId="60DBBA9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巩固拓展脱贫攻坚成果。</w:t>
      </w:r>
      <w:r>
        <w:rPr>
          <w:rFonts w:hint="default" w:ascii="Times New Roman" w:hAnsi="Times New Roman" w:eastAsia="仿宋_GB2312" w:cs="Times New Roman"/>
          <w:sz w:val="32"/>
          <w:szCs w:val="32"/>
          <w:highlight w:val="none"/>
          <w:u w:val="none"/>
        </w:rPr>
        <w:t>深入开展防止返贫就业攻坚行动，完善产业帮扶、科技帮扶、返贫动态监测等体制机制，增强帮扶产业的就业吸纳能力，稳定脱贫人口务工规模和收入，全面提升脱贫质量。稳定脱贫长效机制，按照巩固、升级、盘活、调整原则，分类推进帮扶产业提质增效，继续实施领导干部联系驻村帮扶等政策。巩固全区脱贫人口“两不愁三保障”水平，补齐基础设施和公共服务短板，强化低保、医疗、养老保险和特困人员救助供养等综合性社会保障，有效防止规模性返贫。落实脱贫攻坚国家投入形成资产的长效管理机制，全面加强帮扶项目资产管理，确保资产稳定良性运行、持续发挥作用。建设乡村振兴示范县，推进和美乡村建设，打造乡村振兴实施片区化推进乡村建设试点。</w:t>
      </w:r>
    </w:p>
    <w:p w14:paraId="6891EA27">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实施乡村振兴支持计划。</w:t>
      </w:r>
      <w:r>
        <w:rPr>
          <w:rFonts w:hint="default" w:ascii="Times New Roman" w:hAnsi="Times New Roman" w:eastAsia="仿宋_GB2312" w:cs="Times New Roman"/>
          <w:sz w:val="32"/>
          <w:szCs w:val="32"/>
          <w:highlight w:val="none"/>
          <w:u w:val="none"/>
        </w:rPr>
        <w:t>加强农民技术技能培训，壮大农村各类专业人才和实用人才队伍。推进乡村工匠培育工程。以产业需求为导向，优化调整涉农学科专业。提升涉农职业教育水平，鼓励职业学校与农业企业等组建产教联合体。扎实推进“三支一扶”计划、科技特派员、特岗计划等基层服务项目。深入实施乡村巾帼追梦人计划和乡村振兴青春建功行动。支持科技小院扎根农村助农惠农。继续实施大学生乡村医生专项计划。鼓励和引导城市人才服务乡村，健全激励机制。推动机关党建与乡村振兴深度融合，以党建引领产业兴农、生态惠农、乡风促农、治理助农、生活富农，积极打造“五农”助推发展新模式。</w:t>
      </w:r>
    </w:p>
    <w:tbl>
      <w:tblPr>
        <w:tblStyle w:val="8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75"/>
        <w:gridCol w:w="6531"/>
      </w:tblGrid>
      <w:tr w14:paraId="21E13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306" w:type="dxa"/>
            <w:gridSpan w:val="2"/>
            <w:vAlign w:val="center"/>
          </w:tcPr>
          <w:p w14:paraId="40D0B5F5">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专栏12 郊区乡村振兴战略重大行动</w:t>
            </w:r>
          </w:p>
        </w:tc>
      </w:tr>
      <w:tr w14:paraId="60B9F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775" w:type="dxa"/>
            <w:vAlign w:val="center"/>
          </w:tcPr>
          <w:p w14:paraId="593C1D9A">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任务</w:t>
            </w:r>
          </w:p>
        </w:tc>
        <w:tc>
          <w:tcPr>
            <w:tcW w:w="6531" w:type="dxa"/>
            <w:vAlign w:val="center"/>
          </w:tcPr>
          <w:p w14:paraId="724874E9">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建设内容</w:t>
            </w:r>
          </w:p>
        </w:tc>
      </w:tr>
      <w:tr w14:paraId="73798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775" w:type="dxa"/>
            <w:vAlign w:val="center"/>
          </w:tcPr>
          <w:p w14:paraId="5882DE7F">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基础设施巩固提升行动</w:t>
            </w:r>
          </w:p>
        </w:tc>
        <w:tc>
          <w:tcPr>
            <w:tcW w:w="6531" w:type="dxa"/>
            <w:vAlign w:val="center"/>
          </w:tcPr>
          <w:p w14:paraId="2F9EA054">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 xml:space="preserve">加强交通设施维修，对农村公路破损路段进行集中整修。加强广播电视宽带建设，全面提升广播电视服务质量。加强人居环境综合整治。 </w:t>
            </w:r>
          </w:p>
        </w:tc>
      </w:tr>
      <w:tr w14:paraId="1FEE1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1775" w:type="dxa"/>
            <w:vAlign w:val="center"/>
          </w:tcPr>
          <w:p w14:paraId="189B50A2">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产业增收巩固提升行动</w:t>
            </w:r>
          </w:p>
        </w:tc>
        <w:tc>
          <w:tcPr>
            <w:tcW w:w="6531" w:type="dxa"/>
            <w:vAlign w:val="center"/>
          </w:tcPr>
          <w:p w14:paraId="19710589">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 xml:space="preserve">发展特色种养业，发展合作经济，组织脱贫群众参与生态管护和建设。推进转移就业创业，让脱贫群众获取合理劳务报酬。 </w:t>
            </w:r>
          </w:p>
        </w:tc>
      </w:tr>
      <w:tr w14:paraId="0D0FB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775" w:type="dxa"/>
            <w:vAlign w:val="center"/>
          </w:tcPr>
          <w:p w14:paraId="0B4733D4">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医疗健康巩固提升行动</w:t>
            </w:r>
          </w:p>
        </w:tc>
        <w:tc>
          <w:tcPr>
            <w:tcW w:w="6531" w:type="dxa"/>
            <w:vAlign w:val="center"/>
          </w:tcPr>
          <w:p w14:paraId="459C0244">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加强乡村两级医疗服务体系建设，完善乡镇卫生院常用诊疗设备，优化村卫生室诊疗环境。</w:t>
            </w:r>
          </w:p>
        </w:tc>
      </w:tr>
      <w:tr w14:paraId="1CA131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775" w:type="dxa"/>
            <w:vAlign w:val="center"/>
          </w:tcPr>
          <w:p w14:paraId="33B67605">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任务</w:t>
            </w:r>
          </w:p>
        </w:tc>
        <w:tc>
          <w:tcPr>
            <w:tcW w:w="6531" w:type="dxa"/>
            <w:vAlign w:val="center"/>
          </w:tcPr>
          <w:p w14:paraId="6224DC06">
            <w:pPr>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建设内容</w:t>
            </w:r>
          </w:p>
        </w:tc>
      </w:tr>
      <w:tr w14:paraId="2C7AB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775" w:type="dxa"/>
            <w:vAlign w:val="center"/>
          </w:tcPr>
          <w:p w14:paraId="2E1F7AC2">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教育文化巩固提升行动</w:t>
            </w:r>
          </w:p>
        </w:tc>
        <w:tc>
          <w:tcPr>
            <w:tcW w:w="6531" w:type="dxa"/>
            <w:vAlign w:val="center"/>
          </w:tcPr>
          <w:p w14:paraId="08B54091">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深化教育帮扶机制，抓好教育帮扶作为阻断贫困</w:t>
            </w:r>
            <w:r>
              <w:rPr>
                <w:rFonts w:hint="default" w:ascii="Times New Roman" w:hAnsi="Times New Roman" w:eastAsia="宋体" w:cs="Times New Roman"/>
                <w:sz w:val="24"/>
                <w:szCs w:val="24"/>
                <w:highlight w:val="none"/>
                <w:u w:val="none"/>
                <w:lang w:eastAsia="zh-CN"/>
              </w:rPr>
              <w:t>代代相传</w:t>
            </w:r>
            <w:r>
              <w:rPr>
                <w:rFonts w:hint="default" w:ascii="Times New Roman" w:hAnsi="Times New Roman" w:eastAsia="宋体" w:cs="Times New Roman"/>
                <w:sz w:val="24"/>
                <w:szCs w:val="24"/>
                <w:highlight w:val="none"/>
                <w:u w:val="none"/>
              </w:rPr>
              <w:t>的重要举措。</w:t>
            </w:r>
          </w:p>
        </w:tc>
      </w:tr>
      <w:tr w14:paraId="79D80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775" w:type="dxa"/>
            <w:vAlign w:val="center"/>
          </w:tcPr>
          <w:p w14:paraId="7AD3B030">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sz w:val="24"/>
                <w:szCs w:val="24"/>
                <w:highlight w:val="none"/>
                <w:u w:val="none"/>
              </w:rPr>
              <w:t>“</w:t>
            </w:r>
            <w:r>
              <w:rPr>
                <w:rFonts w:hint="default" w:ascii="Times New Roman" w:hAnsi="Times New Roman" w:eastAsia="宋体" w:cs="Times New Roman"/>
                <w:b/>
                <w:bCs/>
                <w:sz w:val="24"/>
                <w:szCs w:val="24"/>
                <w:highlight w:val="none"/>
                <w:u w:val="none"/>
              </w:rPr>
              <w:t>乡村著名行动</w:t>
            </w:r>
            <w:r>
              <w:rPr>
                <w:rFonts w:hint="default" w:ascii="Times New Roman" w:hAnsi="Times New Roman" w:eastAsia="宋体" w:cs="Times New Roman"/>
                <w:sz w:val="24"/>
                <w:szCs w:val="24"/>
                <w:highlight w:val="none"/>
                <w:u w:val="none"/>
              </w:rPr>
              <w:t>”</w:t>
            </w:r>
          </w:p>
        </w:tc>
        <w:tc>
          <w:tcPr>
            <w:tcW w:w="6531" w:type="dxa"/>
            <w:vAlign w:val="center"/>
          </w:tcPr>
          <w:p w14:paraId="261B2144">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科学织密乡村地名网，为出行导航、快递进村、山货进城、乡村旅游等提供准确地名信息，助力推动乡村全面振兴。</w:t>
            </w:r>
          </w:p>
        </w:tc>
      </w:tr>
      <w:tr w14:paraId="72FDEC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775" w:type="dxa"/>
            <w:vAlign w:val="center"/>
          </w:tcPr>
          <w:p w14:paraId="6EF9B8ED">
            <w:pPr>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住房保障巩固提升行动</w:t>
            </w:r>
          </w:p>
        </w:tc>
        <w:tc>
          <w:tcPr>
            <w:tcW w:w="6531" w:type="dxa"/>
            <w:vAlign w:val="center"/>
          </w:tcPr>
          <w:p w14:paraId="7D3846B8">
            <w:pPr>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高标准保障脱贫群众住房安全，对脱贫群众房屋进行定期、不定期巡查，对发现安全隐患的房屋，及时采取措施消除隐患。</w:t>
            </w:r>
          </w:p>
        </w:tc>
      </w:tr>
    </w:tbl>
    <w:p w14:paraId="085A30AF">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80" w:name="_Toc216985875"/>
      <w:r>
        <w:rPr>
          <w:rFonts w:hint="default" w:ascii="Times New Roman" w:hAnsi="Times New Roman" w:eastAsia="方正小标宋简体" w:cs="Times New Roman"/>
          <w:b w:val="0"/>
          <w:bCs/>
          <w:sz w:val="32"/>
          <w:szCs w:val="32"/>
          <w:highlight w:val="none"/>
          <w:u w:val="none"/>
          <w:lang w:val="zh-CN"/>
        </w:rPr>
        <w:t>第七章 统筹城乡发展，推进以人为核心的新型城镇化</w:t>
      </w:r>
      <w:bookmarkEnd w:id="80"/>
    </w:p>
    <w:p w14:paraId="070A60F3">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以新型城镇化建设为引导，健全城乡融合发展体制机制，引导人口向城镇集聚、要素资源向城镇集中、产业重点向城镇集合，有效推动城乡要素平等交换、双向流动，形成工农互促、城乡互补、协调发展、共同繁荣的新型工农城乡关系，为佳木斯市中心城市建设做出郊区贡献。</w:t>
      </w:r>
    </w:p>
    <w:p w14:paraId="343606AC">
      <w:pPr>
        <w:pStyle w:val="3"/>
        <w:keepNext w:val="0"/>
        <w:keepLines w:val="0"/>
        <w:pageBreakBefore w:val="0"/>
        <w:widowControl w:val="0"/>
        <w:kinsoku/>
        <w:wordWrap/>
        <w:overflowPunct w:val="0"/>
        <w:topLinePunct w:val="0"/>
        <w:autoSpaceDE/>
        <w:autoSpaceDN/>
        <w:bidi w:val="0"/>
        <w:adjustRightInd/>
        <w:snapToGrid/>
        <w:spacing w:before="0" w:after="0" w:line="590" w:lineRule="exact"/>
        <w:ind w:firstLine="640" w:firstLineChars="200"/>
        <w:textAlignment w:val="auto"/>
        <w:rPr>
          <w:rFonts w:hint="default" w:ascii="Times New Roman" w:hAnsi="Times New Roman" w:eastAsia="黑体" w:cs="Times New Roman"/>
          <w:b w:val="0"/>
          <w:bCs w:val="0"/>
          <w:highlight w:val="none"/>
          <w:u w:val="none"/>
          <w:lang w:val="zh-CN"/>
        </w:rPr>
      </w:pPr>
      <w:bookmarkStart w:id="81" w:name="_Toc216985876"/>
      <w:r>
        <w:rPr>
          <w:rFonts w:hint="default" w:ascii="Times New Roman" w:hAnsi="Times New Roman" w:eastAsia="黑体" w:cs="Times New Roman"/>
          <w:b w:val="0"/>
          <w:bCs w:val="0"/>
          <w:highlight w:val="none"/>
          <w:u w:val="none"/>
          <w:lang w:val="zh-CN"/>
        </w:rPr>
        <w:t>一、建立健全城乡融合发展体制机制</w:t>
      </w:r>
      <w:bookmarkEnd w:id="81"/>
    </w:p>
    <w:p w14:paraId="17AAB766">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构建平衡适宜的城乡空间体系。</w:t>
      </w:r>
      <w:r>
        <w:rPr>
          <w:rFonts w:hint="default" w:ascii="Times New Roman" w:hAnsi="Times New Roman" w:eastAsia="仿宋_GB2312" w:cs="Times New Roman"/>
          <w:sz w:val="32"/>
          <w:szCs w:val="32"/>
          <w:highlight w:val="none"/>
          <w:u w:val="none"/>
        </w:rPr>
        <w:t>优化郊区国土空间规划布局，加强推动城乡规划、土地利用规划、生态环境保护规划“多规合一”，形成一本规划、一张蓝图。按照“在保护中发展，在发展中保护”的要求，科学准确划定并严守“三区三线”，适当增加生活空间，有序整治和清洁企业、园区等生产空间，保护和扩大绿地、水域、湿地等生态空间，积极构建国土空间开发保护新格局。</w:t>
      </w:r>
    </w:p>
    <w:p w14:paraId="0B4A7F67">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color w:val="000000"/>
          <w:sz w:val="36"/>
          <w:szCs w:val="36"/>
          <w:highlight w:val="none"/>
          <w:u w:val="none"/>
        </w:rPr>
      </w:pPr>
      <w:r>
        <w:rPr>
          <w:rFonts w:hint="default" w:ascii="Times New Roman" w:hAnsi="Times New Roman" w:eastAsia="仿宋_GB2312" w:cs="Times New Roman"/>
          <w:b/>
          <w:bCs/>
          <w:sz w:val="32"/>
          <w:szCs w:val="32"/>
          <w:highlight w:val="none"/>
          <w:u w:val="none"/>
        </w:rPr>
        <w:t>形成具有区域特色的城镇发展布局。</w:t>
      </w:r>
      <w:r>
        <w:rPr>
          <w:rFonts w:hint="default" w:ascii="Times New Roman" w:hAnsi="Times New Roman" w:eastAsia="仿宋_GB2312" w:cs="Times New Roman"/>
          <w:sz w:val="32"/>
          <w:szCs w:val="32"/>
          <w:highlight w:val="none"/>
          <w:u w:val="none"/>
        </w:rPr>
        <w:t>以红旗街道为中心，以东西向G1011、G2</w:t>
      </w:r>
      <w:r>
        <w:rPr>
          <w:rFonts w:hint="eastAsia" w:ascii="Times New Roman" w:hAnsi="Times New Roman" w:eastAsia="仿宋_GB2312" w:cs="Times New Roman"/>
          <w:sz w:val="32"/>
          <w:szCs w:val="32"/>
          <w:highlight w:val="none"/>
          <w:u w:val="none"/>
          <w:lang w:val="en-US" w:eastAsia="zh-CN"/>
        </w:rPr>
        <w:t>2</w:t>
      </w:r>
      <w:r>
        <w:rPr>
          <w:rFonts w:hint="default" w:ascii="Times New Roman" w:hAnsi="Times New Roman" w:eastAsia="仿宋_GB2312" w:cs="Times New Roman"/>
          <w:sz w:val="32"/>
          <w:szCs w:val="32"/>
          <w:highlight w:val="none"/>
          <w:u w:val="none"/>
        </w:rPr>
        <w:t>1和南北向G11为发展主轴，依托沿江镇、敖其镇、望江镇、四丰镇等重点乡镇，基本形成全区“一心、两轴、多组团”的城镇空间结构。加快打造一批各具产业特色的中小城镇，提升保障农场的城镇化建设水平，提高综合服务、产业引领和人口集聚能力，打造布局合理、形态适宜、层级清晰的现代化城镇体系。</w:t>
      </w:r>
    </w:p>
    <w:p w14:paraId="44064080">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b/>
          <w:bCs/>
          <w:sz w:val="32"/>
          <w:szCs w:val="32"/>
          <w:highlight w:val="none"/>
          <w:u w:val="none"/>
        </w:rPr>
      </w:pPr>
      <w:r>
        <w:rPr>
          <w:rFonts w:hint="default" w:ascii="Times New Roman" w:hAnsi="Times New Roman" w:eastAsia="仿宋_GB2312" w:cs="Times New Roman"/>
          <w:b/>
          <w:bCs/>
          <w:sz w:val="32"/>
          <w:szCs w:val="32"/>
          <w:highlight w:val="none"/>
          <w:u w:val="none"/>
        </w:rPr>
        <w:t>推进以人为核心的新型城镇化建设。</w:t>
      </w:r>
      <w:r>
        <w:rPr>
          <w:rFonts w:hint="default" w:ascii="Times New Roman" w:hAnsi="Times New Roman" w:eastAsia="仿宋_GB2312" w:cs="Times New Roman"/>
          <w:sz w:val="32"/>
          <w:szCs w:val="32"/>
          <w:highlight w:val="none"/>
          <w:u w:val="none"/>
        </w:rPr>
        <w:t>把人口集聚作为经济发展的主要着力点，创建人口集聚的环境，切实保障进城（镇）落户农民利益。落实中央城市工作会议精神，进一步提升城镇承载能力，不断优化进城就业和定居的政策环境，持续完善城镇劳动就业、社会保障等机制，为实现人口转移拓展空间。加快农业转移人口市民化进程，稳步提高城乡基本公共服务均等化水平，推动城镇基本公共服务逐渐覆盖常住人口，让更多流动人口能够进入城镇，使其对居住城镇有更多的归属感和认同感。到2030年，户籍人口城镇化率</w:t>
      </w:r>
      <w:r>
        <w:rPr>
          <w:rFonts w:hint="default" w:ascii="Times New Roman" w:hAnsi="Times New Roman" w:eastAsia="仿宋_GB2312" w:cs="Times New Roman"/>
          <w:sz w:val="32"/>
          <w:szCs w:val="32"/>
          <w:highlight w:val="none"/>
          <w:u w:val="none"/>
          <w:lang w:val="en-US" w:eastAsia="zh-CN"/>
        </w:rPr>
        <w:t>完成省市下达目标</w:t>
      </w:r>
      <w:r>
        <w:rPr>
          <w:rFonts w:hint="default" w:ascii="Times New Roman" w:hAnsi="Times New Roman" w:eastAsia="仿宋_GB2312" w:cs="Times New Roman"/>
          <w:sz w:val="32"/>
          <w:szCs w:val="32"/>
          <w:highlight w:val="none"/>
          <w:u w:val="none"/>
        </w:rPr>
        <w:t>。</w:t>
      </w:r>
    </w:p>
    <w:p w14:paraId="3EE53D2D">
      <w:pPr>
        <w:keepNext w:val="0"/>
        <w:keepLines w:val="0"/>
        <w:pageBreakBefore w:val="0"/>
        <w:widowControl w:val="0"/>
        <w:kinsoku/>
        <w:wordWrap/>
        <w:overflowPunct w:val="0"/>
        <w:topLinePunct w:val="0"/>
        <w:autoSpaceDE/>
        <w:autoSpaceDN/>
        <w:bidi w:val="0"/>
        <w:adjustRightInd/>
        <w:snapToGrid/>
        <w:spacing w:line="59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优化调整产业发展空间。</w:t>
      </w:r>
      <w:r>
        <w:rPr>
          <w:rFonts w:hint="default" w:ascii="Times New Roman" w:hAnsi="Times New Roman" w:eastAsia="仿宋_GB2312" w:cs="Times New Roman"/>
          <w:sz w:val="32"/>
          <w:szCs w:val="32"/>
          <w:highlight w:val="none"/>
          <w:u w:val="none"/>
        </w:rPr>
        <w:t>发挥产业集聚效应，大力发展二三产业，为实现人口转移搭建必要载体，增加投资兴业人口。依托各乡镇资源，突出区域特色和地方特色，建设布局产业集聚区、特色农业发展区和乡镇生态旅游区。以城区为核心，优化商贸、物流、金融、住宿餐饮等服务功能，打造服务业集聚区。优势农业发展区主要包括敖其镇、大来镇</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长青乡、长发镇等，重点发展粮食、蔬菜、畜禽等大宗农产品，在四丰镇、西格木镇、沿江镇等乡镇因地制宜发展农业及生态旅游。</w:t>
      </w:r>
    </w:p>
    <w:tbl>
      <w:tblPr>
        <w:tblStyle w:val="30"/>
        <w:tblW w:w="8787"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134"/>
        <w:gridCol w:w="7653"/>
      </w:tblGrid>
      <w:tr w14:paraId="7B2FF27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2" w:hRule="atLeast"/>
          <w:jc w:val="center"/>
        </w:trPr>
        <w:tc>
          <w:tcPr>
            <w:tcW w:w="8787" w:type="dxa"/>
            <w:gridSpan w:val="2"/>
            <w:tcBorders>
              <w:top w:val="single" w:color="auto" w:sz="12" w:space="0"/>
            </w:tcBorders>
            <w:vAlign w:val="center"/>
          </w:tcPr>
          <w:p w14:paraId="7B68B68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专栏13 郊区各乡镇主要发展定位</w:t>
            </w:r>
          </w:p>
        </w:tc>
      </w:tr>
      <w:tr w14:paraId="175FC07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5" w:hRule="atLeast"/>
          <w:jc w:val="center"/>
        </w:trPr>
        <w:tc>
          <w:tcPr>
            <w:tcW w:w="1134" w:type="dxa"/>
            <w:tcBorders>
              <w:right w:val="single" w:color="auto" w:sz="4" w:space="0"/>
            </w:tcBorders>
            <w:vAlign w:val="center"/>
          </w:tcPr>
          <w:p w14:paraId="7975EF16">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名称</w:t>
            </w:r>
          </w:p>
        </w:tc>
        <w:tc>
          <w:tcPr>
            <w:tcW w:w="7653" w:type="dxa"/>
            <w:tcBorders>
              <w:left w:val="single" w:color="auto" w:sz="4" w:space="0"/>
            </w:tcBorders>
            <w:vAlign w:val="center"/>
          </w:tcPr>
          <w:p w14:paraId="3C6204D2">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定位</w:t>
            </w:r>
          </w:p>
        </w:tc>
      </w:tr>
      <w:tr w14:paraId="7C6112D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6" w:hRule="atLeast"/>
          <w:jc w:val="center"/>
        </w:trPr>
        <w:tc>
          <w:tcPr>
            <w:tcW w:w="1134" w:type="dxa"/>
            <w:tcBorders>
              <w:right w:val="single" w:color="auto" w:sz="4" w:space="0"/>
            </w:tcBorders>
            <w:vAlign w:val="center"/>
          </w:tcPr>
          <w:p w14:paraId="4F663B7D">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敖其镇</w:t>
            </w:r>
          </w:p>
        </w:tc>
        <w:tc>
          <w:tcPr>
            <w:tcW w:w="7653" w:type="dxa"/>
            <w:tcBorders>
              <w:left w:val="single" w:color="auto" w:sz="4" w:space="0"/>
            </w:tcBorders>
            <w:vAlign w:val="center"/>
          </w:tcPr>
          <w:p w14:paraId="20050A19">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以赫哲文化为内核、生态农业为根基、文旅融合为引擎，打造集民俗体验、休闲度假、绿色种养于一体的特色乡村振兴示范镇，建成佳木斯西部农文旅融合发展新高地。</w:t>
            </w:r>
          </w:p>
        </w:tc>
      </w:tr>
      <w:tr w14:paraId="7627059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134" w:type="dxa"/>
            <w:tcBorders>
              <w:right w:val="single" w:color="auto" w:sz="4" w:space="0"/>
            </w:tcBorders>
            <w:vAlign w:val="center"/>
          </w:tcPr>
          <w:p w14:paraId="331C6699">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大来镇</w:t>
            </w:r>
          </w:p>
        </w:tc>
        <w:tc>
          <w:tcPr>
            <w:tcW w:w="7653" w:type="dxa"/>
            <w:tcBorders>
              <w:left w:val="single" w:color="auto" w:sz="4" w:space="0"/>
            </w:tcBorders>
            <w:vAlign w:val="center"/>
          </w:tcPr>
          <w:p w14:paraId="6398C0BD">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立足“红色文化+生态农业+特色旅游”三重禀赋，依托221国道与松花江区位优势，打造“农文旅融合示范镇、红色生态宜居镇”。聚焦优质粮产、特色种养与精深加工，联动红色资源与山水风光，构建“农业筑基、文化铸魂、旅游赋能”的全域发展格局。</w:t>
            </w:r>
          </w:p>
        </w:tc>
      </w:tr>
      <w:tr w14:paraId="4C13ADE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6" w:hRule="atLeast"/>
          <w:jc w:val="center"/>
        </w:trPr>
        <w:tc>
          <w:tcPr>
            <w:tcW w:w="1134" w:type="dxa"/>
            <w:tcBorders>
              <w:right w:val="single" w:color="auto" w:sz="4" w:space="0"/>
            </w:tcBorders>
            <w:vAlign w:val="center"/>
          </w:tcPr>
          <w:p w14:paraId="520EB0D9">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望江镇</w:t>
            </w:r>
          </w:p>
        </w:tc>
        <w:tc>
          <w:tcPr>
            <w:tcW w:w="7653" w:type="dxa"/>
            <w:tcBorders>
              <w:left w:val="single" w:color="auto" w:sz="4" w:space="0"/>
            </w:tcBorders>
            <w:vAlign w:val="center"/>
          </w:tcPr>
          <w:p w14:paraId="18A34ED3">
            <w:pPr>
              <w:spacing w:line="320" w:lineRule="exact"/>
              <w:jc w:val="left"/>
              <w:rPr>
                <w:rFonts w:hint="default" w:ascii="Times New Roman" w:hAnsi="Times New Roman" w:eastAsia="宋体" w:cs="Times New Roman"/>
                <w:bCs/>
                <w:color w:val="000000"/>
                <w:sz w:val="24"/>
                <w:szCs w:val="24"/>
                <w:highlight w:val="none"/>
                <w:u w:val="none"/>
                <w:lang w:eastAsia="zh-CN"/>
              </w:rPr>
            </w:pPr>
            <w:r>
              <w:rPr>
                <w:rFonts w:hint="default" w:ascii="Times New Roman" w:hAnsi="Times New Roman" w:eastAsia="宋体" w:cs="Times New Roman"/>
                <w:bCs/>
                <w:color w:val="000000"/>
                <w:sz w:val="24"/>
                <w:szCs w:val="24"/>
                <w:highlight w:val="none"/>
                <w:u w:val="none"/>
              </w:rPr>
              <w:t>依托普田种业、宾源米业、一季付士等企业，发展种子、种植、优质水稻加工一体化产业集群，打造优质水稻生产区。建设以绿色食品加工、农机装备制造、生态育种、现代物流及</w:t>
            </w:r>
            <w:r>
              <w:rPr>
                <w:rFonts w:hint="eastAsia" w:ascii="Times New Roman" w:hAnsi="Times New Roman" w:eastAsia="宋体" w:cs="Times New Roman"/>
                <w:bCs/>
                <w:color w:val="000000"/>
                <w:sz w:val="24"/>
                <w:szCs w:val="24"/>
                <w:highlight w:val="none"/>
                <w:u w:val="none"/>
                <w:lang w:eastAsia="zh-CN"/>
              </w:rPr>
              <w:t>“三农”</w:t>
            </w:r>
            <w:r>
              <w:rPr>
                <w:rFonts w:hint="default" w:ascii="Times New Roman" w:hAnsi="Times New Roman" w:eastAsia="宋体" w:cs="Times New Roman"/>
                <w:bCs/>
                <w:color w:val="000000"/>
                <w:sz w:val="24"/>
                <w:szCs w:val="24"/>
                <w:highlight w:val="none"/>
                <w:u w:val="none"/>
              </w:rPr>
              <w:t>综合服务为主的生态宜居小城镇</w:t>
            </w:r>
            <w:r>
              <w:rPr>
                <w:rFonts w:hint="default" w:ascii="Times New Roman" w:hAnsi="Times New Roman" w:eastAsia="宋体" w:cs="Times New Roman"/>
                <w:bCs/>
                <w:color w:val="000000"/>
                <w:sz w:val="24"/>
                <w:szCs w:val="24"/>
                <w:highlight w:val="none"/>
                <w:u w:val="none"/>
                <w:lang w:eastAsia="zh-CN"/>
              </w:rPr>
              <w:t>。</w:t>
            </w:r>
          </w:p>
        </w:tc>
      </w:tr>
      <w:tr w14:paraId="4B106BD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04" w:hRule="atLeast"/>
          <w:jc w:val="center"/>
        </w:trPr>
        <w:tc>
          <w:tcPr>
            <w:tcW w:w="1134" w:type="dxa"/>
            <w:tcBorders>
              <w:right w:val="single" w:color="auto" w:sz="4" w:space="0"/>
            </w:tcBorders>
            <w:vAlign w:val="center"/>
          </w:tcPr>
          <w:p w14:paraId="2A0321B4">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西格木镇</w:t>
            </w:r>
          </w:p>
        </w:tc>
        <w:tc>
          <w:tcPr>
            <w:tcW w:w="7653" w:type="dxa"/>
            <w:tcBorders>
              <w:left w:val="single" w:color="auto" w:sz="4" w:space="0"/>
            </w:tcBorders>
            <w:vAlign w:val="center"/>
          </w:tcPr>
          <w:p w14:paraId="5530C55D">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立足近郊区位与农业基础，构建以“特色精品农业为核心、近郊配套产业为支撑”的现代化产业体系，打造佳木斯近郊绿色种养示范基地、城乡融合示范镇和宜居宜业和美乡村。</w:t>
            </w:r>
          </w:p>
        </w:tc>
      </w:tr>
      <w:tr w14:paraId="3CBC0F5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134" w:type="dxa"/>
            <w:tcBorders>
              <w:right w:val="single" w:color="auto" w:sz="4" w:space="0"/>
            </w:tcBorders>
            <w:vAlign w:val="center"/>
          </w:tcPr>
          <w:p w14:paraId="5006A00D">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沿江镇</w:t>
            </w:r>
          </w:p>
        </w:tc>
        <w:tc>
          <w:tcPr>
            <w:tcW w:w="7653" w:type="dxa"/>
            <w:tcBorders>
              <w:left w:val="single" w:color="auto" w:sz="4" w:space="0"/>
            </w:tcBorders>
            <w:vAlign w:val="center"/>
          </w:tcPr>
          <w:p w14:paraId="2936F75A">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以三连村西红柿等品类为支撑，打造佳木斯绿色厨房核心区；依托敖其湾滑雪场整合资源，建成四季可用度假小镇；借力龙江交投物流港等平台，建设物流集散区并优化网络降本增效，全面推动 “农、产、文、流”深度融合。</w:t>
            </w:r>
          </w:p>
        </w:tc>
      </w:tr>
      <w:tr w14:paraId="73D2856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40" w:hRule="atLeast"/>
          <w:jc w:val="center"/>
        </w:trPr>
        <w:tc>
          <w:tcPr>
            <w:tcW w:w="1134" w:type="dxa"/>
            <w:tcBorders>
              <w:right w:val="single" w:color="auto" w:sz="4" w:space="0"/>
            </w:tcBorders>
            <w:vAlign w:val="center"/>
          </w:tcPr>
          <w:p w14:paraId="15A62A32">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长发镇</w:t>
            </w:r>
          </w:p>
        </w:tc>
        <w:tc>
          <w:tcPr>
            <w:tcW w:w="7653" w:type="dxa"/>
            <w:tcBorders>
              <w:left w:val="single" w:color="auto" w:sz="4" w:space="0"/>
            </w:tcBorders>
            <w:vAlign w:val="center"/>
          </w:tcPr>
          <w:p w14:paraId="22AD779D">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立足农业大镇优势，以“农业强镇、绿色兴镇、品牌立镇”为路径，全力打造区域蔬菜集散中心与农旅融合中心。大力发展土地规模经营，积极培育家庭农场、合作社等新型主体，加快适用推广先进技术，创新现代化农业示范镇。</w:t>
            </w:r>
          </w:p>
        </w:tc>
      </w:tr>
      <w:tr w14:paraId="3F4909F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93" w:hRule="atLeast"/>
          <w:jc w:val="center"/>
        </w:trPr>
        <w:tc>
          <w:tcPr>
            <w:tcW w:w="1134" w:type="dxa"/>
            <w:tcBorders>
              <w:right w:val="single" w:color="auto" w:sz="4" w:space="0"/>
            </w:tcBorders>
            <w:vAlign w:val="center"/>
          </w:tcPr>
          <w:p w14:paraId="6E5458D8">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莲江口镇</w:t>
            </w:r>
          </w:p>
        </w:tc>
        <w:tc>
          <w:tcPr>
            <w:tcW w:w="7653" w:type="dxa"/>
            <w:tcBorders>
              <w:left w:val="single" w:color="auto" w:sz="4" w:space="0"/>
            </w:tcBorders>
            <w:vAlign w:val="center"/>
          </w:tcPr>
          <w:p w14:paraId="34E138B3">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打造市区北部以特色农业为根基、商贸物流为纽带、休闲旅游为亮点的综合服务型城镇，推动三产融合，建成城乡要素流动枢纽与近郊品质生活节点。</w:t>
            </w:r>
          </w:p>
        </w:tc>
      </w:tr>
      <w:tr w14:paraId="69A711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134" w:type="dxa"/>
            <w:tcBorders>
              <w:right w:val="single" w:color="auto" w:sz="4" w:space="0"/>
            </w:tcBorders>
            <w:vAlign w:val="center"/>
          </w:tcPr>
          <w:p w14:paraId="70100186">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四丰镇</w:t>
            </w:r>
          </w:p>
        </w:tc>
        <w:tc>
          <w:tcPr>
            <w:tcW w:w="7653" w:type="dxa"/>
            <w:tcBorders>
              <w:left w:val="single" w:color="auto" w:sz="4" w:space="0"/>
            </w:tcBorders>
            <w:vAlign w:val="center"/>
          </w:tcPr>
          <w:p w14:paraId="311765BF">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立足“北城南田、文旅融合”的发展布局，北部发展精品农业、农文旅融合与城市服务，南部保障粮食安全并做强特色农业，着力建设近郊城乡融合示范与生态宜居样板镇。</w:t>
            </w:r>
          </w:p>
        </w:tc>
      </w:tr>
      <w:tr w14:paraId="520E3CA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68" w:hRule="atLeast"/>
          <w:jc w:val="center"/>
        </w:trPr>
        <w:tc>
          <w:tcPr>
            <w:tcW w:w="1134" w:type="dxa"/>
            <w:tcBorders>
              <w:right w:val="single" w:color="auto" w:sz="4" w:space="0"/>
            </w:tcBorders>
            <w:vAlign w:val="center"/>
          </w:tcPr>
          <w:p w14:paraId="4962AEE7">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长青乡</w:t>
            </w:r>
          </w:p>
        </w:tc>
        <w:tc>
          <w:tcPr>
            <w:tcW w:w="7653" w:type="dxa"/>
            <w:tcBorders>
              <w:left w:val="single" w:color="auto" w:sz="4" w:space="0"/>
            </w:tcBorders>
            <w:vAlign w:val="center"/>
          </w:tcPr>
          <w:p w14:paraId="69DCAE0E">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推动农业向绿色、特色、品牌化迈进，拓展农产品加工、物流等多元业态，全力打造蔬菜集散+农旅融合两大中心。</w:t>
            </w:r>
          </w:p>
        </w:tc>
      </w:tr>
      <w:tr w14:paraId="3B2A95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9" w:hRule="atLeast"/>
          <w:jc w:val="center"/>
        </w:trPr>
        <w:tc>
          <w:tcPr>
            <w:tcW w:w="1134" w:type="dxa"/>
            <w:tcBorders>
              <w:right w:val="single" w:color="auto" w:sz="4" w:space="0"/>
            </w:tcBorders>
            <w:vAlign w:val="center"/>
          </w:tcPr>
          <w:p w14:paraId="0738DBC3">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群胜乡</w:t>
            </w:r>
          </w:p>
        </w:tc>
        <w:tc>
          <w:tcPr>
            <w:tcW w:w="7653" w:type="dxa"/>
            <w:tcBorders>
              <w:left w:val="single" w:color="auto" w:sz="4" w:space="0"/>
            </w:tcBorders>
            <w:vAlign w:val="center"/>
          </w:tcPr>
          <w:p w14:paraId="2B537134">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立足“红色热土、绿色田园”资源禀赋，打造以“红色文旅引领、绿色农业支撑、农文旅深度融合”为特色的城郊生态休闲示范区。</w:t>
            </w:r>
          </w:p>
        </w:tc>
      </w:tr>
      <w:tr w14:paraId="41E800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134" w:type="dxa"/>
            <w:tcBorders>
              <w:bottom w:val="single" w:color="auto" w:sz="12" w:space="0"/>
              <w:right w:val="single" w:color="auto" w:sz="4" w:space="0"/>
            </w:tcBorders>
            <w:vAlign w:val="center"/>
          </w:tcPr>
          <w:p w14:paraId="6BB8553B">
            <w:pPr>
              <w:jc w:val="center"/>
              <w:rPr>
                <w:rFonts w:hint="default" w:ascii="Times New Roman" w:hAnsi="Times New Roman" w:eastAsia="宋体" w:cs="Times New Roman"/>
                <w:b/>
                <w:bCs/>
                <w:color w:val="000000"/>
                <w:sz w:val="24"/>
                <w:highlight w:val="none"/>
                <w:u w:val="none"/>
              </w:rPr>
            </w:pPr>
            <w:r>
              <w:rPr>
                <w:rFonts w:hint="default" w:ascii="Times New Roman" w:hAnsi="Times New Roman" w:eastAsia="宋体" w:cs="Times New Roman"/>
                <w:b/>
                <w:bCs/>
                <w:color w:val="000000"/>
                <w:sz w:val="24"/>
                <w:highlight w:val="none"/>
                <w:u w:val="none"/>
              </w:rPr>
              <w:t>平安乡</w:t>
            </w:r>
          </w:p>
        </w:tc>
        <w:tc>
          <w:tcPr>
            <w:tcW w:w="7653" w:type="dxa"/>
            <w:tcBorders>
              <w:left w:val="single" w:color="auto" w:sz="4" w:space="0"/>
              <w:bottom w:val="single" w:color="auto" w:sz="12" w:space="0"/>
            </w:tcBorders>
            <w:vAlign w:val="center"/>
          </w:tcPr>
          <w:p w14:paraId="19AAA0D0">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以发展现代化农业为主，兼顾特色农业，推动农文旅融合、农产品加工等产业协同发展，构建“主辅联动、多业共生”的现代化乡村产业格局。</w:t>
            </w:r>
          </w:p>
        </w:tc>
      </w:tr>
    </w:tbl>
    <w:p w14:paraId="7C58327E">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82" w:name="_Toc216985877"/>
      <w:r>
        <w:rPr>
          <w:rFonts w:hint="default" w:ascii="Times New Roman" w:hAnsi="Times New Roman" w:eastAsia="黑体" w:cs="Times New Roman"/>
          <w:b w:val="0"/>
          <w:bCs w:val="0"/>
          <w:highlight w:val="none"/>
          <w:u w:val="none"/>
          <w:lang w:val="zh-CN"/>
        </w:rPr>
        <w:t>二、强化城乡基础设施建设</w:t>
      </w:r>
      <w:bookmarkEnd w:id="82"/>
    </w:p>
    <w:p w14:paraId="5E95F831">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打造现代化交通网络体系。</w:t>
      </w:r>
      <w:r>
        <w:rPr>
          <w:rFonts w:hint="default" w:ascii="Times New Roman" w:hAnsi="Times New Roman" w:eastAsia="仿宋_GB2312" w:cs="Times New Roman"/>
          <w:color w:val="000000"/>
          <w:sz w:val="32"/>
          <w:szCs w:val="32"/>
          <w:highlight w:val="none"/>
          <w:u w:val="none"/>
        </w:rPr>
        <w:t>进一步</w:t>
      </w:r>
      <w:r>
        <w:rPr>
          <w:rFonts w:hint="default" w:ascii="Times New Roman" w:hAnsi="Times New Roman" w:eastAsia="仿宋_GB2312" w:cs="Times New Roman"/>
          <w:sz w:val="32"/>
          <w:szCs w:val="32"/>
          <w:highlight w:val="none"/>
          <w:u w:val="none"/>
        </w:rPr>
        <w:t>优化</w:t>
      </w:r>
      <w:r>
        <w:rPr>
          <w:rFonts w:hint="default" w:ascii="Times New Roman" w:hAnsi="Times New Roman" w:eastAsia="仿宋_GB2312" w:cs="Times New Roman"/>
          <w:color w:val="000000"/>
          <w:sz w:val="32"/>
          <w:szCs w:val="32"/>
          <w:highlight w:val="none"/>
          <w:u w:val="none"/>
        </w:rPr>
        <w:t>郊区公路路网结构体系，提高整体通行能力和服务功能，</w:t>
      </w:r>
      <w:r>
        <w:rPr>
          <w:rFonts w:hint="default" w:ascii="Times New Roman" w:hAnsi="Times New Roman" w:eastAsia="仿宋_GB2312" w:cs="Times New Roman"/>
          <w:sz w:val="32"/>
          <w:szCs w:val="32"/>
          <w:highlight w:val="none"/>
          <w:u w:val="none"/>
        </w:rPr>
        <w:t>着力构建衔接哈同、鹤大等高速运输通道，对内联通各乡镇重要旅游景区、重要客货运枢纽等节点，构建区域“环+放射”网络，形成与高速公路城市保护环和过境分流环，贯通普通公路区域环线，提升综合运输通道运输能力。</w:t>
      </w:r>
    </w:p>
    <w:p w14:paraId="3A5F69B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bCs/>
          <w:sz w:val="32"/>
          <w:szCs w:val="32"/>
          <w:highlight w:val="none"/>
          <w:u w:val="none"/>
        </w:rPr>
        <w:t>持续改善农村地区交通条件。</w:t>
      </w:r>
      <w:r>
        <w:rPr>
          <w:rFonts w:hint="default" w:ascii="Times New Roman" w:hAnsi="Times New Roman" w:eastAsia="仿宋_GB2312" w:cs="Times New Roman"/>
          <w:sz w:val="32"/>
          <w:szCs w:val="32"/>
          <w:highlight w:val="none"/>
          <w:u w:val="none"/>
        </w:rPr>
        <w:t>有重点有节奏推进农村公路提档升级工程。因地制宜，合理确定技术标准，综合运用“四晋三”“单改双”“增设双车道”等多种举措推进农村公路改造提升。到2030年，累计完成农村公路12</w:t>
      </w:r>
      <w:r>
        <w:rPr>
          <w:rFonts w:hint="default" w:ascii="Times New Roman" w:hAnsi="Times New Roman" w:eastAsia="仿宋_GB2312" w:cs="Times New Roman"/>
          <w:sz w:val="32"/>
          <w:szCs w:val="32"/>
          <w:highlight w:val="none"/>
          <w:u w:val="none"/>
          <w:lang w:val="en-US" w:eastAsia="zh-CN"/>
        </w:rPr>
        <w:t>7</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102</w:t>
      </w:r>
      <w:r>
        <w:rPr>
          <w:rFonts w:hint="default" w:ascii="Times New Roman" w:hAnsi="Times New Roman" w:eastAsia="仿宋_GB2312" w:cs="Times New Roman"/>
          <w:sz w:val="32"/>
          <w:szCs w:val="32"/>
          <w:highlight w:val="none"/>
          <w:u w:val="none"/>
        </w:rPr>
        <w:t>公里，其中县乡道提档升级三级路20.168公里，乡道升级双车道项目4</w:t>
      </w:r>
      <w:r>
        <w:rPr>
          <w:rFonts w:hint="default" w:ascii="Times New Roman" w:hAnsi="Times New Roman" w:eastAsia="仿宋_GB2312" w:cs="Times New Roman"/>
          <w:sz w:val="32"/>
          <w:szCs w:val="32"/>
          <w:highlight w:val="none"/>
          <w:u w:val="none"/>
          <w:lang w:val="en-US" w:eastAsia="zh-CN"/>
        </w:rPr>
        <w:t>0</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0</w:t>
      </w:r>
      <w:r>
        <w:rPr>
          <w:rFonts w:hint="default" w:ascii="Times New Roman" w:hAnsi="Times New Roman" w:eastAsia="仿宋_GB2312" w:cs="Times New Roman"/>
          <w:sz w:val="32"/>
          <w:szCs w:val="32"/>
          <w:highlight w:val="none"/>
          <w:u w:val="none"/>
        </w:rPr>
        <w:t>23公里，村道提质改造项目6</w:t>
      </w:r>
      <w:r>
        <w:rPr>
          <w:rFonts w:hint="default" w:ascii="Times New Roman" w:hAnsi="Times New Roman" w:eastAsia="仿宋_GB2312" w:cs="Times New Roman"/>
          <w:sz w:val="32"/>
          <w:szCs w:val="32"/>
          <w:highlight w:val="none"/>
          <w:u w:val="none"/>
          <w:lang w:val="en-US" w:eastAsia="zh-CN"/>
        </w:rPr>
        <w:t>6</w:t>
      </w:r>
      <w:r>
        <w:rPr>
          <w:rFonts w:hint="default" w:ascii="Times New Roman" w:hAnsi="Times New Roman" w:eastAsia="仿宋_GB2312" w:cs="Times New Roman"/>
          <w:sz w:val="32"/>
          <w:szCs w:val="32"/>
          <w:highlight w:val="none"/>
          <w:u w:val="none"/>
        </w:rPr>
        <w:t>.91</w:t>
      </w:r>
      <w:r>
        <w:rPr>
          <w:rFonts w:hint="default" w:ascii="Times New Roman" w:hAnsi="Times New Roman" w:eastAsia="仿宋_GB2312" w:cs="Times New Roman"/>
          <w:sz w:val="32"/>
          <w:szCs w:val="32"/>
          <w:highlight w:val="none"/>
          <w:u w:val="none"/>
          <w:lang w:val="en-US" w:eastAsia="zh-CN"/>
        </w:rPr>
        <w:t>1</w:t>
      </w:r>
      <w:r>
        <w:rPr>
          <w:rFonts w:hint="default" w:ascii="Times New Roman" w:hAnsi="Times New Roman" w:eastAsia="仿宋_GB2312" w:cs="Times New Roman"/>
          <w:sz w:val="32"/>
          <w:szCs w:val="32"/>
          <w:highlight w:val="none"/>
          <w:u w:val="none"/>
        </w:rPr>
        <w:t>公里，完成10座桥梁改造及旧涵改桥项目，县乡道中等路及以上比例提升为85%以上，基本建成布局合理、安全舒畅、服务优质、绿色经济的交通运输体系。</w:t>
      </w:r>
    </w:p>
    <w:tbl>
      <w:tblPr>
        <w:tblStyle w:val="30"/>
        <w:tblW w:w="8787"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907"/>
        <w:gridCol w:w="6880"/>
      </w:tblGrid>
      <w:tr w14:paraId="07187BD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8787" w:type="dxa"/>
            <w:gridSpan w:val="2"/>
            <w:tcBorders>
              <w:top w:val="single" w:color="auto" w:sz="12" w:space="0"/>
            </w:tcBorders>
          </w:tcPr>
          <w:p w14:paraId="796732E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专栏14 交通网络建设重点项目</w:t>
            </w:r>
          </w:p>
        </w:tc>
      </w:tr>
      <w:tr w14:paraId="0C5DD7A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907" w:type="dxa"/>
            <w:tcBorders>
              <w:right w:val="single" w:color="auto" w:sz="4" w:space="0"/>
            </w:tcBorders>
            <w:vAlign w:val="center"/>
          </w:tcPr>
          <w:p w14:paraId="5153E2A9">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6880" w:type="dxa"/>
            <w:tcBorders>
              <w:left w:val="single" w:color="auto" w:sz="4" w:space="0"/>
            </w:tcBorders>
            <w:vAlign w:val="center"/>
          </w:tcPr>
          <w:p w14:paraId="1A2B5B6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03D4E8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907" w:type="dxa"/>
            <w:tcBorders>
              <w:right w:val="single" w:color="auto" w:sz="4" w:space="0"/>
            </w:tcBorders>
            <w:vAlign w:val="center"/>
          </w:tcPr>
          <w:p w14:paraId="07280B93">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对外通道及城乡路网建设工程</w:t>
            </w:r>
          </w:p>
        </w:tc>
        <w:tc>
          <w:tcPr>
            <w:tcW w:w="6880" w:type="dxa"/>
            <w:tcBorders>
              <w:left w:val="single" w:color="auto" w:sz="4" w:space="0"/>
            </w:tcBorders>
            <w:vAlign w:val="center"/>
          </w:tcPr>
          <w:p w14:paraId="2650C651">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实施佳木斯市郊区2023年乡镇通三级硬化路工程（新城村</w:t>
            </w:r>
            <w:r>
              <w:rPr>
                <w:rFonts w:hint="default" w:ascii="Times New Roman" w:hAnsi="Times New Roman" w:eastAsia="宋体" w:cs="Times New Roman"/>
                <w:sz w:val="24"/>
                <w:highlight w:val="none"/>
                <w:u w:val="none"/>
                <w:lang w:eastAsia="zh-CN"/>
              </w:rPr>
              <w:t>－</w:t>
            </w:r>
            <w:r>
              <w:rPr>
                <w:rFonts w:hint="default" w:ascii="Times New Roman" w:hAnsi="Times New Roman" w:eastAsia="宋体" w:cs="Times New Roman"/>
                <w:sz w:val="24"/>
                <w:highlight w:val="none"/>
                <w:u w:val="none"/>
              </w:rPr>
              <w:t>大来段）建设项目</w:t>
            </w:r>
          </w:p>
        </w:tc>
      </w:tr>
      <w:tr w14:paraId="73F13D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907" w:type="dxa"/>
            <w:tcBorders>
              <w:right w:val="single" w:color="auto" w:sz="4" w:space="0"/>
            </w:tcBorders>
            <w:vAlign w:val="center"/>
          </w:tcPr>
          <w:p w14:paraId="19F94563">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农村公路升级改造工程</w:t>
            </w:r>
          </w:p>
        </w:tc>
        <w:tc>
          <w:tcPr>
            <w:tcW w:w="6880" w:type="dxa"/>
            <w:tcBorders>
              <w:left w:val="single" w:color="auto" w:sz="4" w:space="0"/>
            </w:tcBorders>
            <w:vAlign w:val="center"/>
          </w:tcPr>
          <w:p w14:paraId="0AE7A6A8">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实施乡镇通三级硬化路工程、建制村通双车道建设项目、农村公路提质改造工程、旧涵改桥工程等。</w:t>
            </w:r>
          </w:p>
        </w:tc>
      </w:tr>
      <w:tr w14:paraId="0D95FD1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0" w:hRule="atLeast"/>
          <w:jc w:val="center"/>
        </w:trPr>
        <w:tc>
          <w:tcPr>
            <w:tcW w:w="1907" w:type="dxa"/>
            <w:tcBorders>
              <w:bottom w:val="single" w:color="auto" w:sz="12" w:space="0"/>
              <w:right w:val="single" w:color="auto" w:sz="4" w:space="0"/>
            </w:tcBorders>
            <w:vAlign w:val="center"/>
          </w:tcPr>
          <w:p w14:paraId="08D6A8C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其他交通设施</w:t>
            </w:r>
          </w:p>
        </w:tc>
        <w:tc>
          <w:tcPr>
            <w:tcW w:w="6880" w:type="dxa"/>
            <w:tcBorders>
              <w:left w:val="single" w:color="auto" w:sz="4" w:space="0"/>
              <w:bottom w:val="single" w:color="auto" w:sz="12" w:space="0"/>
            </w:tcBorders>
            <w:vAlign w:val="center"/>
          </w:tcPr>
          <w:p w14:paraId="2E1598DC">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实施约10座桥梁改造或新建工程项目。</w:t>
            </w:r>
          </w:p>
        </w:tc>
      </w:tr>
    </w:tbl>
    <w:p w14:paraId="4E1B855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highlight w:val="none"/>
          <w:u w:val="none"/>
          <w:lang w:val="en-US" w:eastAsia="zh-CN"/>
        </w:rPr>
      </w:pPr>
      <w:r>
        <w:rPr>
          <w:rFonts w:hint="default" w:ascii="Times New Roman" w:hAnsi="Times New Roman" w:eastAsia="仿宋_GB2312" w:cs="Times New Roman"/>
          <w:b/>
          <w:bCs/>
          <w:color w:val="000000"/>
          <w:sz w:val="32"/>
          <w:szCs w:val="32"/>
          <w:highlight w:val="none"/>
          <w:u w:val="none"/>
        </w:rPr>
        <w:t>持续推进城市更新行动。</w:t>
      </w:r>
      <w:r>
        <w:rPr>
          <w:rFonts w:hint="default" w:ascii="Times New Roman" w:hAnsi="Times New Roman" w:eastAsia="仿宋_GB2312" w:cs="Times New Roman"/>
          <w:color w:val="000000"/>
          <w:sz w:val="32"/>
          <w:szCs w:val="32"/>
          <w:highlight w:val="none"/>
          <w:u w:val="none"/>
        </w:rPr>
        <w:t>落实《关于推动城市高质量发展的意见》，以城中村、老旧小区、危旧房</w:t>
      </w:r>
      <w:r>
        <w:rPr>
          <w:rFonts w:hint="default" w:ascii="Times New Roman" w:hAnsi="Times New Roman" w:eastAsia="仿宋_GB2312" w:cs="Times New Roman"/>
          <w:color w:val="000000"/>
          <w:sz w:val="32"/>
          <w:szCs w:val="32"/>
          <w:highlight w:val="none"/>
          <w:u w:val="none"/>
          <w:lang w:eastAsia="zh-CN"/>
        </w:rPr>
        <w:t>为</w:t>
      </w:r>
      <w:r>
        <w:rPr>
          <w:rFonts w:hint="default" w:ascii="Times New Roman" w:hAnsi="Times New Roman" w:eastAsia="仿宋_GB2312" w:cs="Times New Roman"/>
          <w:color w:val="000000"/>
          <w:sz w:val="32"/>
          <w:szCs w:val="32"/>
          <w:highlight w:val="none"/>
          <w:u w:val="none"/>
        </w:rPr>
        <w:t>重点，加快开展城市更新行动</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lang w:val="en-US" w:eastAsia="zh-CN"/>
        </w:rPr>
        <w:t>重点做好房屋体检工作，</w:t>
      </w:r>
      <w:r>
        <w:rPr>
          <w:rFonts w:hint="default" w:ascii="Times New Roman" w:hAnsi="Times New Roman" w:eastAsia="仿宋_GB2312" w:cs="Times New Roman"/>
          <w:color w:val="000000"/>
          <w:sz w:val="32"/>
          <w:szCs w:val="32"/>
          <w:highlight w:val="none"/>
          <w:u w:val="none"/>
        </w:rPr>
        <w:t>注重保留老城区历史风貌，避免大拆大建，同步完善停车场、口袋公园、社区服务中心等配套设施。强化能源供应保障，构建坚强稳固的电网系统</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lang w:val="en-US" w:eastAsia="zh-CN"/>
        </w:rPr>
        <w:t>重点</w:t>
      </w:r>
      <w:r>
        <w:rPr>
          <w:rFonts w:hint="default" w:ascii="Times New Roman" w:hAnsi="Times New Roman" w:eastAsia="仿宋_GB2312" w:cs="Times New Roman"/>
          <w:color w:val="000000"/>
          <w:sz w:val="32"/>
          <w:szCs w:val="32"/>
          <w:highlight w:val="none"/>
          <w:u w:val="none"/>
        </w:rPr>
        <w:t>解决</w:t>
      </w:r>
      <w:r>
        <w:rPr>
          <w:rFonts w:hint="default" w:ascii="Times New Roman" w:hAnsi="Times New Roman" w:eastAsia="仿宋_GB2312" w:cs="Times New Roman"/>
          <w:color w:val="000000"/>
          <w:sz w:val="32"/>
          <w:szCs w:val="32"/>
          <w:highlight w:val="none"/>
          <w:u w:val="none"/>
          <w:lang w:val="en-US" w:eastAsia="zh-CN"/>
        </w:rPr>
        <w:t>好郊区</w:t>
      </w:r>
      <w:r>
        <w:rPr>
          <w:rFonts w:hint="default" w:ascii="Times New Roman" w:hAnsi="Times New Roman" w:eastAsia="仿宋_GB2312" w:cs="Times New Roman"/>
          <w:color w:val="000000"/>
          <w:sz w:val="32"/>
          <w:szCs w:val="32"/>
          <w:highlight w:val="none"/>
          <w:u w:val="none"/>
        </w:rPr>
        <w:t>10千伏长期重过载配变、线路以及电压越限等现象</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加快推进农田灌排、农产品加工、畜禽水产养殖等供电设施新建改造</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lang w:val="en-US" w:eastAsia="zh-CN"/>
        </w:rPr>
        <w:t>规划建设10kV输电线路7条，改造线路长度15.84公里。</w:t>
      </w:r>
      <w:r>
        <w:rPr>
          <w:rFonts w:hint="default" w:ascii="Times New Roman" w:hAnsi="Times New Roman" w:eastAsia="仿宋_GB2312" w:cs="Times New Roman"/>
          <w:color w:val="000000"/>
          <w:sz w:val="32"/>
          <w:szCs w:val="32"/>
          <w:highlight w:val="none"/>
          <w:u w:val="none"/>
        </w:rPr>
        <w:t>加强供气设施建设，依托中俄远东天然气管道建设天然气门站及CNG母站。强力筑牢燃气安全防线，实施54个小区燃气老旧管网改造工程。</w:t>
      </w:r>
      <w:r>
        <w:rPr>
          <w:rFonts w:hint="default" w:ascii="Times New Roman" w:hAnsi="Times New Roman" w:eastAsia="仿宋" w:cs="Times New Roman"/>
          <w:sz w:val="32"/>
          <w:szCs w:val="32"/>
          <w:highlight w:val="none"/>
          <w:u w:val="none"/>
          <w:lang w:val="en-US" w:eastAsia="zh-CN"/>
        </w:rPr>
        <w:t>将消防基础建设融入城乡建设发展过程，持续提高抵御火灾应急处置能力。</w:t>
      </w:r>
      <w:r>
        <w:rPr>
          <w:rFonts w:hint="default" w:ascii="Times New Roman" w:hAnsi="Times New Roman" w:eastAsia="仿宋_GB2312" w:cs="Times New Roman"/>
          <w:color w:val="000000"/>
          <w:sz w:val="32"/>
          <w:szCs w:val="32"/>
          <w:highlight w:val="none"/>
          <w:u w:val="none"/>
        </w:rPr>
        <w:t>深入城区推进治水行动，计划实施3.52公里河道整治工程。开展56个集中式水源地和104个分散式水源地保护区巡查检查，加强对地下水环境的监测与保护。全面推进城镇老旧小区改造工作。推动物业服务由“小区管理”向“片区管理”转变，由“兜底服务”向“多元服务”转变，实现65个弃管小区、175栋楼房物业服务全覆盖。</w:t>
      </w:r>
    </w:p>
    <w:tbl>
      <w:tblPr>
        <w:tblStyle w:val="30"/>
        <w:tblW w:w="864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93"/>
        <w:gridCol w:w="7247"/>
      </w:tblGrid>
      <w:tr w14:paraId="5413D2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2" w:hRule="atLeast"/>
          <w:jc w:val="center"/>
        </w:trPr>
        <w:tc>
          <w:tcPr>
            <w:tcW w:w="8640" w:type="dxa"/>
            <w:gridSpan w:val="2"/>
            <w:tcBorders>
              <w:top w:val="single" w:color="auto" w:sz="12" w:space="0"/>
            </w:tcBorders>
            <w:vAlign w:val="center"/>
          </w:tcPr>
          <w:p w14:paraId="10D84676">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专栏15 城市更新建设重点项目</w:t>
            </w:r>
          </w:p>
        </w:tc>
      </w:tr>
      <w:tr w14:paraId="1D04923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8" w:hRule="atLeast"/>
          <w:jc w:val="center"/>
        </w:trPr>
        <w:tc>
          <w:tcPr>
            <w:tcW w:w="1393" w:type="dxa"/>
            <w:tcBorders>
              <w:right w:val="single" w:color="auto" w:sz="4" w:space="0"/>
            </w:tcBorders>
            <w:vAlign w:val="center"/>
          </w:tcPr>
          <w:p w14:paraId="17718E8A">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247" w:type="dxa"/>
            <w:tcBorders>
              <w:left w:val="single" w:color="auto" w:sz="4" w:space="0"/>
            </w:tcBorders>
            <w:vAlign w:val="center"/>
          </w:tcPr>
          <w:p w14:paraId="7A76075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7C648D8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417" w:hRule="atLeast"/>
          <w:jc w:val="center"/>
        </w:trPr>
        <w:tc>
          <w:tcPr>
            <w:tcW w:w="1393" w:type="dxa"/>
            <w:tcBorders>
              <w:right w:val="single" w:color="auto" w:sz="4" w:space="0"/>
            </w:tcBorders>
            <w:vAlign w:val="center"/>
          </w:tcPr>
          <w:p w14:paraId="08A2FB9C">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老旧小区改造</w:t>
            </w:r>
          </w:p>
        </w:tc>
        <w:tc>
          <w:tcPr>
            <w:tcW w:w="7247" w:type="dxa"/>
            <w:tcBorders>
              <w:left w:val="single" w:color="auto" w:sz="4" w:space="0"/>
            </w:tcBorders>
            <w:vAlign w:val="center"/>
          </w:tcPr>
          <w:p w14:paraId="3BD82512">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重点实施郊区城市更新老旧小区改造建设项目（2026</w:t>
            </w:r>
            <w:r>
              <w:rPr>
                <w:rFonts w:hint="eastAsia" w:ascii="Times New Roman" w:hAnsi="Times New Roman" w:eastAsia="宋体" w:cs="Times New Roman"/>
                <w:sz w:val="24"/>
                <w:highlight w:val="none"/>
                <w:u w:val="none"/>
                <w:lang w:eastAsia="zh-CN"/>
              </w:rPr>
              <w:t>—</w:t>
            </w:r>
            <w:r>
              <w:rPr>
                <w:rFonts w:hint="default" w:ascii="Times New Roman" w:hAnsi="Times New Roman" w:eastAsia="宋体" w:cs="Times New Roman"/>
                <w:sz w:val="24"/>
                <w:highlight w:val="none"/>
                <w:u w:val="none"/>
              </w:rPr>
              <w:t>202</w:t>
            </w:r>
            <w:r>
              <w:rPr>
                <w:rFonts w:hint="default" w:ascii="Times New Roman" w:hAnsi="Times New Roman" w:eastAsia="宋体" w:cs="Times New Roman"/>
                <w:sz w:val="24"/>
                <w:highlight w:val="none"/>
                <w:u w:val="none"/>
                <w:lang w:val="en-US" w:eastAsia="zh-CN"/>
              </w:rPr>
              <w:t>9年</w:t>
            </w:r>
            <w:r>
              <w:rPr>
                <w:rFonts w:hint="default" w:ascii="Times New Roman" w:hAnsi="Times New Roman" w:eastAsia="宋体" w:cs="Times New Roman"/>
                <w:sz w:val="24"/>
                <w:highlight w:val="none"/>
                <w:u w:val="none"/>
              </w:rPr>
              <w:t>）、郊区佳纺老旧街区改造提升建设项目、郊区森林消防支队西侧棚户区改造项目、郊区鲁班木业棚户区改造项目、郊区长青乡政府西侧棚户区改造项目等。</w:t>
            </w:r>
          </w:p>
        </w:tc>
      </w:tr>
      <w:tr w14:paraId="62B3E48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351" w:hRule="atLeast"/>
          <w:jc w:val="center"/>
        </w:trPr>
        <w:tc>
          <w:tcPr>
            <w:tcW w:w="1393" w:type="dxa"/>
            <w:tcBorders>
              <w:right w:val="single" w:color="auto" w:sz="4" w:space="0"/>
            </w:tcBorders>
            <w:vAlign w:val="center"/>
          </w:tcPr>
          <w:p w14:paraId="5368FF66">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供水、供电、</w:t>
            </w:r>
            <w:r>
              <w:rPr>
                <w:rFonts w:hint="default" w:ascii="Times New Roman" w:hAnsi="Times New Roman" w:eastAsia="宋体" w:cs="Times New Roman"/>
                <w:b/>
                <w:bCs/>
                <w:color w:val="000000"/>
                <w:sz w:val="24"/>
                <w:szCs w:val="24"/>
                <w:highlight w:val="none"/>
                <w:u w:val="none"/>
              </w:rPr>
              <w:t>供气</w:t>
            </w:r>
          </w:p>
        </w:tc>
        <w:tc>
          <w:tcPr>
            <w:tcW w:w="7247" w:type="dxa"/>
            <w:tcBorders>
              <w:left w:val="single" w:color="auto" w:sz="4" w:space="0"/>
            </w:tcBorders>
            <w:vAlign w:val="center"/>
          </w:tcPr>
          <w:p w14:paraId="7E1ABC39">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重点推进郊区供水设施更新建设项目、郊区新能源输变电工程、郊区煤矿备用电源项目、西格木镇建设储气站项目、佳木斯巨远燃气能源有限责任公司储气站建设项目、郊区供热老化管道和设施更新改造项目。</w:t>
            </w:r>
          </w:p>
        </w:tc>
      </w:tr>
      <w:tr w14:paraId="1828E4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0" w:hRule="atLeast"/>
          <w:jc w:val="center"/>
        </w:trPr>
        <w:tc>
          <w:tcPr>
            <w:tcW w:w="1393" w:type="dxa"/>
            <w:tcBorders>
              <w:right w:val="single" w:color="auto" w:sz="4" w:space="0"/>
            </w:tcBorders>
            <w:vAlign w:val="center"/>
          </w:tcPr>
          <w:p w14:paraId="2A53A2D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污水、垃圾治理</w:t>
            </w:r>
          </w:p>
        </w:tc>
        <w:tc>
          <w:tcPr>
            <w:tcW w:w="7247" w:type="dxa"/>
            <w:tcBorders>
              <w:left w:val="single" w:color="auto" w:sz="4" w:space="0"/>
            </w:tcBorders>
            <w:vAlign w:val="center"/>
          </w:tcPr>
          <w:p w14:paraId="3C44F18F">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重点推进郊区排水防涝设施建设改造项目、郊区巷道雨污分流改造项目等。</w:t>
            </w:r>
          </w:p>
        </w:tc>
      </w:tr>
      <w:tr w14:paraId="0516626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20" w:hRule="atLeast"/>
          <w:jc w:val="center"/>
        </w:trPr>
        <w:tc>
          <w:tcPr>
            <w:tcW w:w="1393" w:type="dxa"/>
            <w:tcBorders>
              <w:right w:val="single" w:color="auto" w:sz="4" w:space="0"/>
            </w:tcBorders>
            <w:vAlign w:val="center"/>
          </w:tcPr>
          <w:p w14:paraId="79C907E1">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城市公共服务设施</w:t>
            </w:r>
          </w:p>
        </w:tc>
        <w:tc>
          <w:tcPr>
            <w:tcW w:w="7247" w:type="dxa"/>
            <w:tcBorders>
              <w:left w:val="single" w:color="auto" w:sz="4" w:space="0"/>
            </w:tcBorders>
            <w:vAlign w:val="center"/>
          </w:tcPr>
          <w:p w14:paraId="7D853A63">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实施大境小区口袋公园、牙城小镇口袋公园、佳木斯市郊区2026年公共卫生间改造项目等。</w:t>
            </w:r>
          </w:p>
        </w:tc>
      </w:tr>
      <w:tr w14:paraId="0A34341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047" w:hRule="atLeast"/>
          <w:jc w:val="center"/>
        </w:trPr>
        <w:tc>
          <w:tcPr>
            <w:tcW w:w="1393" w:type="dxa"/>
            <w:tcBorders>
              <w:bottom w:val="single" w:color="auto" w:sz="12" w:space="0"/>
              <w:right w:val="single" w:color="auto" w:sz="4" w:space="0"/>
            </w:tcBorders>
            <w:vAlign w:val="center"/>
          </w:tcPr>
          <w:p w14:paraId="73E3EF4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能源基础设施</w:t>
            </w:r>
          </w:p>
        </w:tc>
        <w:tc>
          <w:tcPr>
            <w:tcW w:w="7247" w:type="dxa"/>
            <w:tcBorders>
              <w:left w:val="single" w:color="auto" w:sz="4" w:space="0"/>
              <w:bottom w:val="single" w:color="auto" w:sz="12" w:space="0"/>
            </w:tcBorders>
            <w:vAlign w:val="center"/>
          </w:tcPr>
          <w:p w14:paraId="10E0E47C">
            <w:pPr>
              <w:spacing w:line="320" w:lineRule="exact"/>
              <w:jc w:val="left"/>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重点推进南部供热环网工程、智能充电桩项目</w:t>
            </w:r>
            <w:r>
              <w:rPr>
                <w:rFonts w:hint="default" w:ascii="Times New Roman" w:hAnsi="Times New Roman" w:eastAsia="宋体" w:cs="Times New Roman"/>
                <w:sz w:val="24"/>
                <w:highlight w:val="none"/>
                <w:u w:val="none"/>
                <w:lang w:eastAsia="zh-CN"/>
              </w:rPr>
              <w:t>、</w:t>
            </w:r>
            <w:r>
              <w:rPr>
                <w:rFonts w:hint="default" w:ascii="Times New Roman" w:hAnsi="Times New Roman" w:eastAsia="宋体" w:cs="Times New Roman"/>
                <w:sz w:val="24"/>
                <w:highlight w:val="none"/>
                <w:u w:val="none"/>
              </w:rPr>
              <w:t>华润电力群林变220千伏侧站外扩建间隔项目等；积极谋划实施加气站、加油站、充电桩等项目。</w:t>
            </w:r>
          </w:p>
        </w:tc>
      </w:tr>
    </w:tbl>
    <w:p w14:paraId="7F9F7D4D">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color w:val="000000"/>
          <w:sz w:val="32"/>
          <w:szCs w:val="32"/>
          <w:highlight w:val="none"/>
          <w:u w:val="none"/>
        </w:rPr>
        <w:t>实施乡村建设行动。</w:t>
      </w:r>
      <w:r>
        <w:rPr>
          <w:rFonts w:hint="default" w:ascii="Times New Roman" w:hAnsi="Times New Roman" w:eastAsia="仿宋_GB2312" w:cs="Times New Roman"/>
          <w:color w:val="000000"/>
          <w:sz w:val="32"/>
          <w:szCs w:val="32"/>
          <w:highlight w:val="none"/>
          <w:u w:val="none"/>
        </w:rPr>
        <w:t>继续加强农村、农场、国有林场人居环境整治工作，全面改善公共服务设施条件，支持有条件和人口产业规模较大的乡镇，建设雨污分流管网、口袋公园、停车场、智能充电桩</w:t>
      </w:r>
      <w:r>
        <w:rPr>
          <w:rFonts w:hint="default" w:ascii="Times New Roman" w:hAnsi="Times New Roman" w:eastAsia="仿宋_GB2312" w:cs="Times New Roman"/>
          <w:color w:val="000000"/>
          <w:sz w:val="32"/>
          <w:szCs w:val="32"/>
          <w:highlight w:val="none"/>
          <w:u w:val="none"/>
          <w:lang w:val="en-US" w:eastAsia="zh-CN"/>
        </w:rPr>
        <w:t>等</w:t>
      </w:r>
      <w:r>
        <w:rPr>
          <w:rFonts w:hint="default" w:ascii="Times New Roman" w:hAnsi="Times New Roman" w:eastAsia="仿宋_GB2312" w:cs="Times New Roman"/>
          <w:color w:val="000000"/>
          <w:sz w:val="32"/>
          <w:szCs w:val="32"/>
          <w:highlight w:val="none"/>
          <w:u w:val="none"/>
        </w:rPr>
        <w:t>基础设施。持续推进农村垃圾革命，全面推进农村生活垃圾分类，实施源头减量，资源化处理。探索完善适宜郊区本地的农村污水收集处置系统，加快推进城郊周边村屯污水处理并入城市管网工程，有序增加乡（镇）污水处理设施项目。积极推进和美乡村建设，实施绿化美化亮化工程，集中打造美丽乡村亮点。加快推进农村电网改造工程，完善有线电视入户和农村通讯、网络工程。统筹推进城乡供水一体化，集中供水规模化、小型供水规范化建设，全面推行农村饮水县域统管，大幅提升农村饮水质量，让农村居民长期稳定喝上“放心水”。转变农村社会管理体制和运行机制，推进农民市民化和农村社区化管理。到2030年，农村卫生厕所普及率达到38%。</w:t>
      </w:r>
    </w:p>
    <w:tbl>
      <w:tblPr>
        <w:tblStyle w:val="30"/>
        <w:tblW w:w="885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62"/>
        <w:gridCol w:w="7192"/>
      </w:tblGrid>
      <w:tr w14:paraId="0D3830F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6" w:hRule="atLeast"/>
          <w:jc w:val="center"/>
        </w:trPr>
        <w:tc>
          <w:tcPr>
            <w:tcW w:w="8854" w:type="dxa"/>
            <w:gridSpan w:val="2"/>
            <w:tcBorders>
              <w:top w:val="single" w:color="auto" w:sz="12" w:space="0"/>
            </w:tcBorders>
            <w:vAlign w:val="center"/>
          </w:tcPr>
          <w:p w14:paraId="37DBFAF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专栏16 乡村建设行动重点工程</w:t>
            </w:r>
          </w:p>
        </w:tc>
      </w:tr>
      <w:tr w14:paraId="6694C7A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1" w:hRule="atLeast"/>
          <w:jc w:val="center"/>
        </w:trPr>
        <w:tc>
          <w:tcPr>
            <w:tcW w:w="1662" w:type="dxa"/>
            <w:tcBorders>
              <w:right w:val="single" w:color="auto" w:sz="4" w:space="0"/>
            </w:tcBorders>
            <w:vAlign w:val="center"/>
          </w:tcPr>
          <w:p w14:paraId="3FBB865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192" w:type="dxa"/>
            <w:tcBorders>
              <w:left w:val="single" w:color="auto" w:sz="4" w:space="0"/>
            </w:tcBorders>
            <w:vAlign w:val="center"/>
          </w:tcPr>
          <w:p w14:paraId="181E89AF">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14C0185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05" w:hRule="atLeast"/>
          <w:jc w:val="center"/>
        </w:trPr>
        <w:tc>
          <w:tcPr>
            <w:tcW w:w="1662" w:type="dxa"/>
            <w:tcBorders>
              <w:right w:val="single" w:color="auto" w:sz="4" w:space="0"/>
            </w:tcBorders>
            <w:vAlign w:val="center"/>
          </w:tcPr>
          <w:p w14:paraId="74BB492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农村人居环境整治</w:t>
            </w:r>
          </w:p>
        </w:tc>
        <w:tc>
          <w:tcPr>
            <w:tcW w:w="7192" w:type="dxa"/>
            <w:tcBorders>
              <w:left w:val="single" w:color="auto" w:sz="4" w:space="0"/>
            </w:tcBorders>
            <w:vAlign w:val="center"/>
          </w:tcPr>
          <w:p w14:paraId="42935F86">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重点实施农林牧场美丽宜居改造建设项目</w:t>
            </w:r>
            <w:r>
              <w:rPr>
                <w:rFonts w:hint="default" w:ascii="Times New Roman" w:hAnsi="Times New Roman" w:eastAsia="宋体" w:cs="Times New Roman"/>
                <w:bCs/>
                <w:color w:val="000000"/>
                <w:sz w:val="24"/>
                <w:szCs w:val="24"/>
                <w:highlight w:val="none"/>
                <w:u w:val="none"/>
                <w:lang w:eastAsia="zh-CN"/>
              </w:rPr>
              <w:t>、</w:t>
            </w:r>
            <w:r>
              <w:rPr>
                <w:rFonts w:hint="default" w:ascii="Times New Roman" w:hAnsi="Times New Roman" w:eastAsia="宋体" w:cs="Times New Roman"/>
                <w:bCs/>
                <w:color w:val="000000"/>
                <w:sz w:val="24"/>
                <w:szCs w:val="24"/>
                <w:highlight w:val="none"/>
                <w:u w:val="none"/>
              </w:rPr>
              <w:t>和美乡村建设项目、郊区人居环境整治项目等14个项目。</w:t>
            </w:r>
          </w:p>
        </w:tc>
      </w:tr>
      <w:tr w14:paraId="5868783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45" w:hRule="atLeast"/>
          <w:jc w:val="center"/>
        </w:trPr>
        <w:tc>
          <w:tcPr>
            <w:tcW w:w="1662" w:type="dxa"/>
            <w:tcBorders>
              <w:right w:val="single" w:color="auto" w:sz="4" w:space="0"/>
            </w:tcBorders>
            <w:vAlign w:val="center"/>
          </w:tcPr>
          <w:p w14:paraId="1C0B65B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集中供水</w:t>
            </w:r>
          </w:p>
          <w:p w14:paraId="3D182606">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规模化</w:t>
            </w:r>
          </w:p>
        </w:tc>
        <w:tc>
          <w:tcPr>
            <w:tcW w:w="7192" w:type="dxa"/>
            <w:tcBorders>
              <w:left w:val="single" w:color="auto" w:sz="4" w:space="0"/>
            </w:tcBorders>
            <w:vAlign w:val="center"/>
          </w:tcPr>
          <w:p w14:paraId="1DF612C0">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重点推进长发镇供水项目。</w:t>
            </w:r>
          </w:p>
        </w:tc>
      </w:tr>
      <w:tr w14:paraId="761AC61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0" w:hRule="atLeast"/>
          <w:jc w:val="center"/>
        </w:trPr>
        <w:tc>
          <w:tcPr>
            <w:tcW w:w="1662" w:type="dxa"/>
            <w:tcBorders>
              <w:right w:val="single" w:color="auto" w:sz="4" w:space="0"/>
            </w:tcBorders>
            <w:vAlign w:val="center"/>
          </w:tcPr>
          <w:p w14:paraId="3AD82CB2">
            <w:pPr>
              <w:spacing w:line="320" w:lineRule="exact"/>
              <w:jc w:val="center"/>
              <w:rPr>
                <w:rFonts w:hint="default" w:ascii="Times New Roman" w:hAnsi="Times New Roman" w:eastAsia="宋体" w:cs="Times New Roman"/>
                <w:b/>
                <w:bCs/>
                <w:color w:val="000000"/>
                <w:sz w:val="24"/>
                <w:szCs w:val="24"/>
                <w:highlight w:val="none"/>
                <w:u w:val="none"/>
                <w:lang w:eastAsia="zh-CN"/>
              </w:rPr>
            </w:pPr>
            <w:r>
              <w:rPr>
                <w:rFonts w:hint="default" w:ascii="Times New Roman" w:hAnsi="Times New Roman" w:eastAsia="宋体" w:cs="Times New Roman"/>
                <w:b/>
                <w:bCs/>
                <w:color w:val="000000"/>
                <w:sz w:val="24"/>
                <w:szCs w:val="24"/>
                <w:highlight w:val="none"/>
                <w:u w:val="none"/>
                <w:lang w:val="en-US" w:eastAsia="zh-CN"/>
              </w:rPr>
              <w:t>农村</w:t>
            </w:r>
            <w:r>
              <w:rPr>
                <w:rFonts w:hint="default" w:ascii="Times New Roman" w:hAnsi="Times New Roman" w:eastAsia="宋体" w:cs="Times New Roman"/>
                <w:b/>
                <w:bCs/>
                <w:color w:val="000000"/>
                <w:sz w:val="24"/>
                <w:szCs w:val="24"/>
                <w:highlight w:val="none"/>
                <w:u w:val="none"/>
                <w:lang w:eastAsia="zh-CN"/>
              </w:rPr>
              <w:t>“</w:t>
            </w:r>
            <w:r>
              <w:rPr>
                <w:rFonts w:hint="default" w:ascii="Times New Roman" w:hAnsi="Times New Roman" w:eastAsia="宋体" w:cs="Times New Roman"/>
                <w:b/>
                <w:bCs/>
                <w:color w:val="000000"/>
                <w:sz w:val="24"/>
                <w:szCs w:val="24"/>
                <w:highlight w:val="none"/>
                <w:u w:val="none"/>
                <w:lang w:val="en-US" w:eastAsia="zh-CN"/>
              </w:rPr>
              <w:t>五大</w:t>
            </w:r>
            <w:r>
              <w:rPr>
                <w:rFonts w:hint="default" w:ascii="Times New Roman" w:hAnsi="Times New Roman" w:eastAsia="宋体" w:cs="Times New Roman"/>
                <w:b/>
                <w:bCs/>
                <w:color w:val="000000"/>
                <w:sz w:val="24"/>
                <w:szCs w:val="24"/>
                <w:highlight w:val="none"/>
                <w:u w:val="none"/>
              </w:rPr>
              <w:t>革命</w:t>
            </w:r>
            <w:r>
              <w:rPr>
                <w:rFonts w:hint="default" w:ascii="Times New Roman" w:hAnsi="Times New Roman" w:eastAsia="宋体" w:cs="Times New Roman"/>
                <w:b/>
                <w:bCs/>
                <w:color w:val="000000"/>
                <w:sz w:val="24"/>
                <w:szCs w:val="24"/>
                <w:highlight w:val="none"/>
                <w:u w:val="none"/>
                <w:lang w:eastAsia="zh-CN"/>
              </w:rPr>
              <w:t>”</w:t>
            </w:r>
          </w:p>
        </w:tc>
        <w:tc>
          <w:tcPr>
            <w:tcW w:w="7192" w:type="dxa"/>
            <w:tcBorders>
              <w:left w:val="single" w:color="auto" w:sz="4" w:space="0"/>
            </w:tcBorders>
            <w:vAlign w:val="center"/>
          </w:tcPr>
          <w:p w14:paraId="12377F49">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实施秸秆综合利用项目、饲草加工和生物质颗粒项目、生物质燃料加工项目、郊区黑通村17.5MW驭风行动风电项目。</w:t>
            </w:r>
          </w:p>
        </w:tc>
      </w:tr>
      <w:tr w14:paraId="4C72E71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93" w:hRule="atLeast"/>
          <w:jc w:val="center"/>
        </w:trPr>
        <w:tc>
          <w:tcPr>
            <w:tcW w:w="1662" w:type="dxa"/>
            <w:tcBorders>
              <w:bottom w:val="single" w:color="auto" w:sz="12" w:space="0"/>
              <w:right w:val="single" w:color="auto" w:sz="4" w:space="0"/>
            </w:tcBorders>
            <w:vAlign w:val="center"/>
          </w:tcPr>
          <w:p w14:paraId="4E4C42F2">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庭院经济</w:t>
            </w:r>
          </w:p>
        </w:tc>
        <w:tc>
          <w:tcPr>
            <w:tcW w:w="7192" w:type="dxa"/>
            <w:tcBorders>
              <w:left w:val="single" w:color="auto" w:sz="4" w:space="0"/>
              <w:bottom w:val="single" w:color="auto" w:sz="12" w:space="0"/>
            </w:tcBorders>
            <w:vAlign w:val="center"/>
          </w:tcPr>
          <w:p w14:paraId="5EB12204">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支持发展棚室蔬菜种植，支持重点发展香瓜、西瓜、草莓等种植。</w:t>
            </w:r>
          </w:p>
        </w:tc>
      </w:tr>
    </w:tbl>
    <w:p w14:paraId="6F175B6D">
      <w:pPr>
        <w:keepNext w:val="0"/>
        <w:keepLines w:val="0"/>
        <w:pageBreakBefore w:val="0"/>
        <w:widowControl w:val="0"/>
        <w:kinsoku/>
        <w:wordWrap/>
        <w:overflowPunct w:val="0"/>
        <w:topLinePunct w:val="0"/>
        <w:autoSpaceDE/>
        <w:autoSpaceDN/>
        <w:bidi w:val="0"/>
        <w:adjustRightInd/>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完善信息基础设施。</w:t>
      </w:r>
      <w:r>
        <w:rPr>
          <w:rFonts w:hint="default" w:ascii="Times New Roman" w:hAnsi="Times New Roman" w:eastAsia="仿宋_GB2312" w:cs="Times New Roman"/>
          <w:color w:val="000000"/>
          <w:sz w:val="32"/>
          <w:szCs w:val="32"/>
          <w:highlight w:val="none"/>
          <w:u w:val="none"/>
        </w:rPr>
        <w:t>强化数字城市规划建设，适度超前布局智能基础设施，建设高速泛在、畅通便捷、安全智能的信息网络和服务体系，实现信息基础设施互联互通和资源共享。深入推进5G网络建设和演进升级，加快5G-A网络规模部署，实现城市、乡镇、重点景区和主要交通干线全覆盖。实施农村数字基建提升行动，推动农村设施智能化改造，在农田水利、冷链物流、农村能源等领域部署智能传感器、边缘计算设备，扩大5G网络、光纤宽带、物联网感知设备等覆盖区域，构建“低时延、高可靠”、全域感知、智能决策的数字基础设施网络体系。推广智慧农场、智慧林场管理系统等应用，建立从田间到餐桌的全流程数字化管理链条。推进智慧乡村建设，加强信息技术在农业、能源、交通、社会管理、公共服务、教育医疗等领域的应用。</w:t>
      </w:r>
    </w:p>
    <w:tbl>
      <w:tblPr>
        <w:tblStyle w:val="30"/>
        <w:tblW w:w="88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7192"/>
      </w:tblGrid>
      <w:tr w14:paraId="2C2A9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854" w:type="dxa"/>
            <w:gridSpan w:val="2"/>
          </w:tcPr>
          <w:p w14:paraId="6E1B662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专栏17 数字基础设施强基工程</w:t>
            </w:r>
          </w:p>
        </w:tc>
      </w:tr>
      <w:tr w14:paraId="2B41F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662" w:type="dxa"/>
            <w:vAlign w:val="center"/>
          </w:tcPr>
          <w:p w14:paraId="79AB5CC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192" w:type="dxa"/>
            <w:vAlign w:val="center"/>
          </w:tcPr>
          <w:p w14:paraId="3E14490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1C5FE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662" w:type="dxa"/>
            <w:vAlign w:val="center"/>
          </w:tcPr>
          <w:p w14:paraId="1C32AEAE">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智慧乡村</w:t>
            </w:r>
          </w:p>
        </w:tc>
        <w:tc>
          <w:tcPr>
            <w:tcW w:w="7192" w:type="dxa"/>
            <w:vAlign w:val="center"/>
          </w:tcPr>
          <w:p w14:paraId="5F640D52">
            <w:pPr>
              <w:spacing w:line="320" w:lineRule="exact"/>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重点推进一站式办事大厅建设</w:t>
            </w:r>
            <w:r>
              <w:rPr>
                <w:rFonts w:hint="default" w:ascii="Times New Roman" w:hAnsi="Times New Roman" w:eastAsia="宋体" w:cs="Times New Roman"/>
                <w:color w:val="000000"/>
                <w:sz w:val="24"/>
                <w:szCs w:val="24"/>
                <w:highlight w:val="none"/>
                <w:u w:val="none"/>
                <w:lang w:val="en-US" w:eastAsia="zh-CN"/>
              </w:rPr>
              <w:t>等</w:t>
            </w:r>
            <w:r>
              <w:rPr>
                <w:rFonts w:hint="default" w:ascii="Times New Roman" w:hAnsi="Times New Roman" w:eastAsia="宋体" w:cs="Times New Roman"/>
                <w:color w:val="000000"/>
                <w:sz w:val="24"/>
                <w:szCs w:val="24"/>
                <w:highlight w:val="none"/>
                <w:u w:val="none"/>
              </w:rPr>
              <w:t>。</w:t>
            </w:r>
          </w:p>
        </w:tc>
      </w:tr>
      <w:tr w14:paraId="691B2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62" w:type="dxa"/>
            <w:vAlign w:val="center"/>
          </w:tcPr>
          <w:p w14:paraId="2543B6CA">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新基建</w:t>
            </w:r>
          </w:p>
        </w:tc>
        <w:tc>
          <w:tcPr>
            <w:tcW w:w="7192" w:type="dxa"/>
            <w:vAlign w:val="center"/>
          </w:tcPr>
          <w:p w14:paraId="31C8380E">
            <w:pPr>
              <w:spacing w:line="320" w:lineRule="exact"/>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重点推进5G基站建设项目等。</w:t>
            </w:r>
          </w:p>
        </w:tc>
      </w:tr>
    </w:tbl>
    <w:p w14:paraId="5CA751CA">
      <w:pPr>
        <w:keepNext w:val="0"/>
        <w:keepLines w:val="0"/>
        <w:pageBreakBefore w:val="0"/>
        <w:widowControl w:val="0"/>
        <w:kinsoku/>
        <w:wordWrap/>
        <w:overflowPunct w:val="0"/>
        <w:topLinePunct w:val="0"/>
        <w:autoSpaceDE w:val="0"/>
        <w:autoSpaceDN w:val="0"/>
        <w:bidi w:val="0"/>
        <w:adjustRightInd w:val="0"/>
        <w:snapToGrid/>
        <w:spacing w:before="160" w:beforeLines="5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83" w:name="_Toc216985878"/>
      <w:r>
        <w:rPr>
          <w:rFonts w:hint="default" w:ascii="Times New Roman" w:hAnsi="Times New Roman" w:eastAsia="方正小标宋简体" w:cs="Times New Roman"/>
          <w:b w:val="0"/>
          <w:bCs/>
          <w:sz w:val="32"/>
          <w:szCs w:val="32"/>
          <w:highlight w:val="none"/>
          <w:u w:val="none"/>
          <w:lang w:val="zh-CN"/>
        </w:rPr>
        <w:t>第八章 坚持生态优先绿色发展，筑牢生态安全屏障</w:t>
      </w:r>
      <w:bookmarkEnd w:id="83"/>
    </w:p>
    <w:p w14:paraId="19F9A1CE">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cs="Times New Roman"/>
          <w:highlight w:val="none"/>
          <w:u w:val="none"/>
        </w:rPr>
      </w:pPr>
      <w:r>
        <w:rPr>
          <w:rFonts w:hint="default" w:ascii="Times New Roman" w:hAnsi="Times New Roman" w:eastAsia="仿宋_GB2312" w:cs="Times New Roman"/>
          <w:sz w:val="32"/>
          <w:szCs w:val="32"/>
          <w:highlight w:val="none"/>
          <w:u w:val="none"/>
        </w:rPr>
        <w:t>坚决贯彻落实习近平生态文明思想，树牢“绿水青山就是金山银山，冰天雪地也是金山银山”理念，加快生态文明建设，筑牢生态安全屏障，推动节能减排和经济社会发展全面绿色转型，建设人与自然和谐共生的美丽郊区。</w:t>
      </w:r>
    </w:p>
    <w:p w14:paraId="18C11323">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84" w:name="_Toc202609671"/>
      <w:bookmarkStart w:id="85" w:name="_Toc216985879"/>
      <w:r>
        <w:rPr>
          <w:rFonts w:hint="default" w:ascii="Times New Roman" w:hAnsi="Times New Roman" w:eastAsia="黑体" w:cs="Times New Roman"/>
          <w:b w:val="0"/>
          <w:bCs w:val="0"/>
          <w:highlight w:val="none"/>
          <w:u w:val="none"/>
          <w:lang w:val="zh-CN"/>
        </w:rPr>
        <w:t>一、持续加强生态建设与保护</w:t>
      </w:r>
      <w:bookmarkEnd w:id="84"/>
      <w:bookmarkEnd w:id="85"/>
      <w:r>
        <w:rPr>
          <w:rFonts w:hint="default" w:ascii="Times New Roman" w:hAnsi="Times New Roman" w:eastAsia="黑体" w:cs="Times New Roman"/>
          <w:b w:val="0"/>
          <w:bCs w:val="0"/>
          <w:highlight w:val="none"/>
          <w:u w:val="none"/>
          <w:lang w:val="zh-CN"/>
        </w:rPr>
        <w:t xml:space="preserve"> </w:t>
      </w:r>
    </w:p>
    <w:p w14:paraId="4207DB2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稳步推进生态建设。</w:t>
      </w:r>
      <w:r>
        <w:rPr>
          <w:rFonts w:hint="default" w:ascii="Times New Roman" w:hAnsi="Times New Roman" w:eastAsia="仿宋_GB2312" w:cs="Times New Roman"/>
          <w:sz w:val="32"/>
          <w:szCs w:val="32"/>
          <w:highlight w:val="none"/>
          <w:u w:val="none"/>
        </w:rPr>
        <w:t>优先实施重大生态修复工程、生态功能保护区建设工程、黑土地水土流失综合治理工程。继续推进实施退耕还林工程、森林抚育、村庄绿化等重点项目任务。探索建立资源有偿使用制度和生态补偿机制，开展森林碳汇工作，储备碳汇指标，积极参与国家碳交易市场，争取更多生态建设资金。强化黑龙江达勒国家森林公园生态建设和保护，提升基础设施建设水平，鼓励资源适度开发。加强湿地巡护管护监测工作。到2030年，</w:t>
      </w:r>
      <w:r>
        <w:rPr>
          <w:rFonts w:hint="default" w:ascii="Times New Roman" w:hAnsi="Times New Roman" w:eastAsia="仿宋_GB2312" w:cs="Times New Roman"/>
          <w:sz w:val="32"/>
          <w:szCs w:val="32"/>
          <w:highlight w:val="none"/>
          <w:u w:val="none"/>
          <w:lang w:val="en-US" w:eastAsia="zh-CN"/>
        </w:rPr>
        <w:t>国有林场</w:t>
      </w:r>
      <w:r>
        <w:rPr>
          <w:rFonts w:hint="default" w:ascii="Times New Roman" w:hAnsi="Times New Roman" w:eastAsia="仿宋_GB2312" w:cs="Times New Roman"/>
          <w:sz w:val="32"/>
          <w:szCs w:val="32"/>
          <w:highlight w:val="none"/>
          <w:u w:val="none"/>
        </w:rPr>
        <w:t>森林覆盖率达到19.46%，完成森林抚育8000亩。</w:t>
      </w:r>
    </w:p>
    <w:p w14:paraId="426EBB1C">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sz w:val="32"/>
          <w:szCs w:val="32"/>
          <w:highlight w:val="none"/>
          <w:u w:val="none"/>
        </w:rPr>
        <w:t>持续强化环境保护。</w:t>
      </w:r>
      <w:bookmarkStart w:id="86" w:name="_Hlk55420945"/>
      <w:r>
        <w:rPr>
          <w:rFonts w:hint="default" w:ascii="Times New Roman" w:hAnsi="Times New Roman" w:eastAsia="仿宋_GB2312" w:cs="Times New Roman"/>
          <w:sz w:val="32"/>
          <w:szCs w:val="32"/>
          <w:highlight w:val="none"/>
          <w:u w:val="none"/>
        </w:rPr>
        <w:t>强化国土空间规划和用途管控，落实生态保护、基本农田、城镇开发等空间管控边界，严格保护重要生态功能区、水源涵养区、生物多样性保护优先区。</w:t>
      </w:r>
      <w:bookmarkEnd w:id="86"/>
      <w:r>
        <w:rPr>
          <w:rFonts w:hint="default" w:ascii="Times New Roman" w:hAnsi="Times New Roman" w:eastAsia="仿宋_GB2312" w:cs="Times New Roman"/>
          <w:sz w:val="32"/>
          <w:szCs w:val="32"/>
          <w:highlight w:val="none"/>
          <w:u w:val="none"/>
        </w:rPr>
        <w:t>推进河湖长制工作，进一步加强各级河湖长履职尽责。实施河湖及生态环境治理保护修复，持续推进铃铛麦河、格节河、法斯河、阿凌达河、卧龙河、苏木河</w:t>
      </w:r>
      <w:r>
        <w:rPr>
          <w:rFonts w:hint="default" w:ascii="Times New Roman" w:hAnsi="Times New Roman" w:eastAsia="仿宋_GB2312" w:cs="Times New Roman"/>
          <w:sz w:val="32"/>
          <w:szCs w:val="32"/>
          <w:highlight w:val="none"/>
          <w:u w:val="none"/>
          <w:lang w:val="en-US" w:eastAsia="zh-CN"/>
        </w:rPr>
        <w:t>等</w:t>
      </w:r>
      <w:r>
        <w:rPr>
          <w:rFonts w:hint="default" w:ascii="Times New Roman" w:hAnsi="Times New Roman" w:eastAsia="仿宋_GB2312" w:cs="Times New Roman"/>
          <w:sz w:val="32"/>
          <w:szCs w:val="32"/>
          <w:highlight w:val="none"/>
          <w:u w:val="none"/>
        </w:rPr>
        <w:t>中小</w:t>
      </w:r>
      <w:r>
        <w:rPr>
          <w:rFonts w:hint="default" w:ascii="Times New Roman" w:hAnsi="Times New Roman" w:eastAsia="仿宋_GB2312" w:cs="Times New Roman"/>
          <w:sz w:val="32"/>
          <w:szCs w:val="32"/>
          <w:highlight w:val="none"/>
          <w:u w:val="none"/>
          <w:lang w:val="en-US" w:eastAsia="zh-CN"/>
        </w:rPr>
        <w:t>河流</w:t>
      </w:r>
      <w:r>
        <w:rPr>
          <w:rFonts w:hint="default" w:ascii="Times New Roman" w:hAnsi="Times New Roman" w:eastAsia="仿宋_GB2312" w:cs="Times New Roman"/>
          <w:sz w:val="32"/>
          <w:szCs w:val="32"/>
          <w:highlight w:val="none"/>
          <w:u w:val="none"/>
        </w:rPr>
        <w:t>治理工程。强化生态环境质量监测和评估工作。依托“生态总长制”平台，推动“林长+企业林长”协作机制落地实施，持续开展打击破坏环境资源专项整治行动，坚决遏制资源环境违法犯罪活动。实施生物多样性保护重大工程，有效保护</w:t>
      </w:r>
      <w:r>
        <w:rPr>
          <w:rFonts w:hint="eastAsia" w:ascii="Times New Roman" w:hAnsi="Times New Roman" w:eastAsia="仿宋_GB2312" w:cs="Times New Roman"/>
          <w:sz w:val="32"/>
          <w:szCs w:val="32"/>
          <w:highlight w:val="none"/>
          <w:u w:val="none"/>
          <w:lang w:eastAsia="zh-CN"/>
        </w:rPr>
        <w:t>重点保护野生动植物</w:t>
      </w:r>
      <w:r>
        <w:rPr>
          <w:rFonts w:hint="default" w:ascii="Times New Roman" w:hAnsi="Times New Roman" w:eastAsia="仿宋_GB2312" w:cs="Times New Roman"/>
          <w:sz w:val="32"/>
          <w:szCs w:val="32"/>
          <w:highlight w:val="none"/>
          <w:u w:val="none"/>
        </w:rPr>
        <w:t>及其栖息地，维护生物多样性。国家重点保护陆生野生动、植物种数保护率分别达到75%、80%。提升生态环境治理现代化水平，完善区域监测监管网络，加密优化空气、水、土壤监测站点管理，运用无人机、卫星遥感、物联网等技术提升智能化监管水平，开展生态系统保护成效监测评估。到2030年，火灾受灾率控制在0.9‰以内，森林病虫害成灾率控制在4‰以下。</w:t>
      </w:r>
    </w:p>
    <w:p w14:paraId="2D0D0281">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b/>
          <w:bCs/>
          <w:sz w:val="32"/>
          <w:szCs w:val="32"/>
          <w:highlight w:val="none"/>
          <w:u w:val="none"/>
        </w:rPr>
        <w:t>打赢污染防治攻坚战。</w:t>
      </w:r>
      <w:r>
        <w:rPr>
          <w:rFonts w:hint="default" w:ascii="Times New Roman" w:hAnsi="Times New Roman" w:eastAsia="仿宋_GB2312" w:cs="Times New Roman"/>
          <w:sz w:val="32"/>
          <w:szCs w:val="32"/>
          <w:highlight w:val="none"/>
          <w:u w:val="none"/>
        </w:rPr>
        <w:t>积极实施蓝天、碧水、净土保卫战。全面改善城乡空气环境质量，深化涉VOCs企业综合治理，推进重点行业超低排放改造或深度治理，加强施工、道路扬尘精细化管控，深化秸秆禁烧和综合利用，治理餐饮油烟。加强PM2.5与O₃协同控制，有效遏制防控夏季O₃浓度上升趋势，基本消除重污染天气。强化饮用水水源地规范化建设和风险防控，保障水源地水质100%达标，加强入河排污口规范化建设，实现源头防控污染物入河排放，全域消除劣Ⅴ类水体。加强地下水超采、农村生活污水、水土流失等治理。深化农业面源</w:t>
      </w:r>
      <w:r>
        <w:rPr>
          <w:rFonts w:hint="default" w:ascii="Times New Roman" w:hAnsi="Times New Roman" w:eastAsia="仿宋_GB2312" w:cs="Times New Roman"/>
          <w:sz w:val="32"/>
          <w:szCs w:val="32"/>
          <w:highlight w:val="none"/>
          <w:u w:val="none"/>
          <w:lang w:val="en-US" w:eastAsia="zh-CN"/>
        </w:rPr>
        <w:t>头</w:t>
      </w:r>
      <w:r>
        <w:rPr>
          <w:rFonts w:hint="default" w:ascii="Times New Roman" w:hAnsi="Times New Roman" w:eastAsia="仿宋_GB2312" w:cs="Times New Roman"/>
          <w:sz w:val="32"/>
          <w:szCs w:val="32"/>
          <w:highlight w:val="none"/>
          <w:u w:val="none"/>
        </w:rPr>
        <w:t>治理，加强畜禽养殖污染治理，显著提高农村生活污水治理率，加强农业面源污染防治，加大植保病虫害生物防治力度，实现科学施肥全覆盖，农药包装废弃物回</w:t>
      </w:r>
      <w:r>
        <w:rPr>
          <w:rFonts w:hint="default" w:ascii="Times New Roman" w:hAnsi="Times New Roman" w:eastAsia="仿宋_GB2312" w:cs="Times New Roman"/>
          <w:sz w:val="32"/>
          <w:szCs w:val="32"/>
          <w:highlight w:val="none"/>
          <w:u w:val="none"/>
          <w:lang w:val="en-US" w:eastAsia="zh-CN"/>
        </w:rPr>
        <w:t>收</w:t>
      </w:r>
      <w:r>
        <w:rPr>
          <w:rFonts w:hint="default" w:ascii="Times New Roman" w:hAnsi="Times New Roman" w:eastAsia="仿宋_GB2312" w:cs="Times New Roman"/>
          <w:sz w:val="32"/>
          <w:szCs w:val="32"/>
          <w:highlight w:val="none"/>
          <w:u w:val="none"/>
        </w:rPr>
        <w:t>率达到90%以上。抓住垃圾分类契机，有效治理城乡白色污染。加大固体废弃物的清理整治力度，积极开展危险废物存量清零专项行动。到2030年，规模养殖场粪污处理设施配套率达到</w:t>
      </w:r>
      <w:r>
        <w:rPr>
          <w:rFonts w:hint="default" w:ascii="Times New Roman" w:hAnsi="Times New Roman" w:eastAsia="仿宋_GB2312" w:cs="Times New Roman"/>
          <w:sz w:val="32"/>
          <w:szCs w:val="32"/>
          <w:highlight w:val="none"/>
          <w:u w:val="none"/>
          <w:lang w:val="en-US" w:eastAsia="zh-CN"/>
        </w:rPr>
        <w:t>95%以上</w:t>
      </w:r>
      <w:r>
        <w:rPr>
          <w:rFonts w:hint="default" w:ascii="Times New Roman" w:hAnsi="Times New Roman" w:eastAsia="仿宋_GB2312" w:cs="Times New Roman"/>
          <w:sz w:val="32"/>
          <w:szCs w:val="32"/>
          <w:highlight w:val="none"/>
          <w:u w:val="none"/>
        </w:rPr>
        <w:t>，年空气质量良好及以上天数</w:t>
      </w:r>
      <w:r>
        <w:rPr>
          <w:rFonts w:hint="default" w:ascii="Times New Roman" w:hAnsi="Times New Roman" w:eastAsia="仿宋_GB2312" w:cs="Times New Roman"/>
          <w:sz w:val="32"/>
          <w:szCs w:val="32"/>
          <w:highlight w:val="none"/>
          <w:u w:val="none"/>
          <w:lang w:val="en-US" w:eastAsia="zh-CN"/>
        </w:rPr>
        <w:t>达到</w:t>
      </w:r>
      <w:r>
        <w:rPr>
          <w:rFonts w:hint="default" w:ascii="Times New Roman" w:hAnsi="Times New Roman" w:eastAsia="仿宋_GB2312" w:cs="Times New Roman"/>
          <w:sz w:val="32"/>
          <w:szCs w:val="32"/>
          <w:highlight w:val="none"/>
          <w:u w:val="none"/>
        </w:rPr>
        <w:t>省市目标</w:t>
      </w:r>
      <w:r>
        <w:rPr>
          <w:rFonts w:hint="default" w:ascii="Times New Roman" w:hAnsi="Times New Roman" w:eastAsia="仿宋_GB2312" w:cs="Times New Roman"/>
          <w:sz w:val="32"/>
          <w:szCs w:val="32"/>
          <w:highlight w:val="none"/>
          <w:u w:val="none"/>
          <w:lang w:eastAsia="zh-CN"/>
        </w:rPr>
        <w:t>。</w:t>
      </w:r>
    </w:p>
    <w:tbl>
      <w:tblPr>
        <w:tblStyle w:val="30"/>
        <w:tblW w:w="8478"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787"/>
        <w:gridCol w:w="6691"/>
      </w:tblGrid>
      <w:tr w14:paraId="341536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75" w:hRule="atLeast"/>
          <w:jc w:val="center"/>
        </w:trPr>
        <w:tc>
          <w:tcPr>
            <w:tcW w:w="8478" w:type="dxa"/>
            <w:gridSpan w:val="2"/>
            <w:tcBorders>
              <w:top w:val="single" w:color="auto" w:sz="12" w:space="0"/>
              <w:bottom w:val="single" w:color="auto" w:sz="4" w:space="0"/>
            </w:tcBorders>
          </w:tcPr>
          <w:p w14:paraId="6725E6D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专栏18 生态建设重大工程项目</w:t>
            </w:r>
          </w:p>
        </w:tc>
      </w:tr>
      <w:tr w14:paraId="41B2AD6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jc w:val="center"/>
        </w:trPr>
        <w:tc>
          <w:tcPr>
            <w:tcW w:w="1787" w:type="dxa"/>
            <w:tcBorders>
              <w:top w:val="single" w:color="auto" w:sz="4" w:space="0"/>
              <w:right w:val="single" w:color="auto" w:sz="4" w:space="0"/>
            </w:tcBorders>
          </w:tcPr>
          <w:p w14:paraId="2CD0CEF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6691" w:type="dxa"/>
            <w:tcBorders>
              <w:top w:val="single" w:color="auto" w:sz="4" w:space="0"/>
              <w:left w:val="single" w:color="auto" w:sz="4" w:space="0"/>
            </w:tcBorders>
          </w:tcPr>
          <w:p w14:paraId="619F920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5C53ED1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47" w:hRule="atLeast"/>
          <w:jc w:val="center"/>
        </w:trPr>
        <w:tc>
          <w:tcPr>
            <w:tcW w:w="1787" w:type="dxa"/>
            <w:tcBorders>
              <w:top w:val="single" w:color="auto" w:sz="4" w:space="0"/>
              <w:right w:val="single" w:color="auto" w:sz="4" w:space="0"/>
            </w:tcBorders>
            <w:vAlign w:val="center"/>
          </w:tcPr>
          <w:p w14:paraId="7EB40AF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生态建设工程</w:t>
            </w:r>
          </w:p>
        </w:tc>
        <w:tc>
          <w:tcPr>
            <w:tcW w:w="6691" w:type="dxa"/>
            <w:tcBorders>
              <w:top w:val="single" w:color="auto" w:sz="4" w:space="0"/>
              <w:left w:val="single" w:color="auto" w:sz="4" w:space="0"/>
            </w:tcBorders>
            <w:vAlign w:val="center"/>
          </w:tcPr>
          <w:p w14:paraId="5C163DF6">
            <w:pPr>
              <w:rPr>
                <w:rFonts w:hint="default" w:ascii="Times New Roman" w:hAnsi="Times New Roman" w:cs="Times New Roman"/>
                <w:highlight w:val="none"/>
                <w:u w:val="none"/>
              </w:rPr>
            </w:pPr>
            <w:r>
              <w:rPr>
                <w:rFonts w:hint="default" w:ascii="Times New Roman" w:hAnsi="Times New Roman" w:eastAsia="宋体" w:cs="Times New Roman"/>
                <w:sz w:val="24"/>
                <w:szCs w:val="24"/>
                <w:highlight w:val="none"/>
                <w:u w:val="none"/>
              </w:rPr>
              <w:t>重点实施森林抚育项目；科学开展国土绿化行动。</w:t>
            </w:r>
          </w:p>
        </w:tc>
      </w:tr>
      <w:tr w14:paraId="29EEE78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24" w:hRule="atLeast"/>
          <w:jc w:val="center"/>
        </w:trPr>
        <w:tc>
          <w:tcPr>
            <w:tcW w:w="1787" w:type="dxa"/>
            <w:tcBorders>
              <w:right w:val="single" w:color="auto" w:sz="4" w:space="0"/>
            </w:tcBorders>
            <w:vAlign w:val="center"/>
          </w:tcPr>
          <w:p w14:paraId="1ABB8CAF">
            <w:pPr>
              <w:jc w:val="center"/>
              <w:rPr>
                <w:rFonts w:hint="default" w:ascii="Times New Roman" w:hAnsi="Times New Roman" w:eastAsia="宋体" w:cs="Times New Roman"/>
                <w:b/>
                <w:bCs/>
                <w:color w:val="000000"/>
                <w:sz w:val="24"/>
                <w:szCs w:val="24"/>
                <w:highlight w:val="none"/>
                <w:u w:val="none"/>
              </w:rPr>
            </w:pPr>
            <w:bookmarkStart w:id="87" w:name="_Hlk56190385"/>
            <w:r>
              <w:rPr>
                <w:rFonts w:hint="default" w:ascii="Times New Roman" w:hAnsi="Times New Roman" w:eastAsia="宋体" w:cs="Times New Roman"/>
                <w:b/>
                <w:bCs/>
                <w:color w:val="000000"/>
                <w:sz w:val="24"/>
                <w:szCs w:val="24"/>
                <w:highlight w:val="none"/>
                <w:u w:val="none"/>
              </w:rPr>
              <w:t>环境保护、治理与修复工程</w:t>
            </w:r>
            <w:bookmarkEnd w:id="87"/>
          </w:p>
        </w:tc>
        <w:tc>
          <w:tcPr>
            <w:tcW w:w="6691" w:type="dxa"/>
            <w:tcBorders>
              <w:left w:val="single" w:color="auto" w:sz="4" w:space="0"/>
            </w:tcBorders>
            <w:vAlign w:val="center"/>
          </w:tcPr>
          <w:p w14:paraId="2810DCAF">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推进城市生态功能修复、水土流失综合治理等工程。</w:t>
            </w:r>
          </w:p>
        </w:tc>
      </w:tr>
    </w:tbl>
    <w:p w14:paraId="4D34606F">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88" w:name="_Toc202609673"/>
      <w:bookmarkStart w:id="89" w:name="_Toc216985880"/>
      <w:r>
        <w:rPr>
          <w:rFonts w:hint="default" w:ascii="Times New Roman" w:hAnsi="Times New Roman" w:eastAsia="黑体" w:cs="Times New Roman"/>
          <w:b w:val="0"/>
          <w:bCs w:val="0"/>
          <w:highlight w:val="none"/>
          <w:u w:val="none"/>
          <w:lang w:val="zh-CN"/>
        </w:rPr>
        <w:t>二、释放绿色发展动能</w:t>
      </w:r>
      <w:bookmarkEnd w:id="88"/>
      <w:bookmarkEnd w:id="89"/>
    </w:p>
    <w:p w14:paraId="6D6465FA">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推动资源节约和综合利用。</w:t>
      </w:r>
      <w:r>
        <w:rPr>
          <w:rFonts w:hint="default" w:ascii="Times New Roman" w:hAnsi="Times New Roman" w:eastAsia="仿宋_GB2312" w:cs="Times New Roman"/>
          <w:sz w:val="32"/>
          <w:szCs w:val="32"/>
          <w:highlight w:val="none"/>
          <w:u w:val="none"/>
        </w:rPr>
        <w:t>推广太阳能、风能、生物质能、天然气等能源。提高对煤矸石、粉煤灰和炉渣等固体废物的综合利用水平，推进电石渣、脱硫石膏、生活垃圾和污泥等固体废物的无害化处置和资源化利用。推广机械收获直接粉碎还田、深松整地灭茬还田等技术。引进和培育一批秸秆能源化、燃料化、饲料化等秸秆综合利用项目，充分发挥秸秆转化企业的示范带动效应，实现秸秆资源的转化升值。到2030年</w:t>
      </w:r>
      <w:bookmarkStart w:id="90" w:name="_Hlk56460614"/>
      <w:r>
        <w:rPr>
          <w:rFonts w:hint="default" w:ascii="Times New Roman" w:hAnsi="Times New Roman" w:eastAsia="仿宋_GB2312" w:cs="Times New Roman"/>
          <w:sz w:val="32"/>
          <w:szCs w:val="32"/>
          <w:highlight w:val="none"/>
          <w:u w:val="none"/>
        </w:rPr>
        <w:t>，秸秆综合利用率达到91%以上，工业固体废弃物处置利用率达到60%</w:t>
      </w:r>
      <w:bookmarkEnd w:id="90"/>
      <w:r>
        <w:rPr>
          <w:rFonts w:hint="default" w:ascii="Times New Roman" w:hAnsi="Times New Roman" w:eastAsia="仿宋_GB2312" w:cs="Times New Roman"/>
          <w:sz w:val="32"/>
          <w:szCs w:val="32"/>
          <w:highlight w:val="none"/>
          <w:u w:val="none"/>
        </w:rPr>
        <w:t>以上，城镇生活垃圾无害化处理率达到100%。</w:t>
      </w:r>
    </w:p>
    <w:p w14:paraId="0F7368BD">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推进循环经济发展。</w:t>
      </w:r>
      <w:r>
        <w:rPr>
          <w:rFonts w:hint="default" w:ascii="Times New Roman" w:hAnsi="Times New Roman" w:eastAsia="仿宋_GB2312" w:cs="Times New Roman"/>
          <w:sz w:val="32"/>
          <w:szCs w:val="32"/>
          <w:highlight w:val="none"/>
          <w:u w:val="none"/>
        </w:rPr>
        <w:t>加快发展方式</w:t>
      </w:r>
      <w:r>
        <w:rPr>
          <w:rFonts w:hint="eastAsia" w:ascii="Times New Roman" w:hAnsi="Times New Roman" w:eastAsia="仿宋_GB2312" w:cs="Times New Roman"/>
          <w:sz w:val="32"/>
          <w:szCs w:val="32"/>
          <w:highlight w:val="none"/>
          <w:u w:val="none"/>
          <w:lang w:val="en-US" w:eastAsia="zh-CN"/>
        </w:rPr>
        <w:t>向</w:t>
      </w:r>
      <w:r>
        <w:rPr>
          <w:rFonts w:hint="default" w:ascii="Times New Roman" w:hAnsi="Times New Roman" w:eastAsia="仿宋_GB2312" w:cs="Times New Roman"/>
          <w:sz w:val="32"/>
          <w:szCs w:val="32"/>
          <w:highlight w:val="none"/>
          <w:u w:val="none"/>
        </w:rPr>
        <w:t>绿色低碳转型，推动绿色科技创新和先进绿色技术推广应用。发展绿色低碳产业，加强对工业“三废”资源的大宗利用，重点推进粉煤灰、煤矸石、建筑垃圾等大宗固体废弃物综合利用项目建设，加快节能、环保、减排技术和设备的开发和推广应用。积极发展农业循环经济，推动畜禽粪便、秸秆等农业废弃物资源化利用进程，鼓励生产和使用有机肥料、生物农药及可降解农用薄膜。选择若干基底条件较好、有特色的村庄打造“零碳乡村”，通过“油改电”、分布式光伏、“煤改气”能源管理、碳排放测量等手段，实现村民生产生活排放的二氧化碳和碳汇在总量上相互抵消。推动餐厨、建筑等行业的垃圾、废弃物回收和资源化利用。</w:t>
      </w:r>
    </w:p>
    <w:p w14:paraId="11AABF4F">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推进低碳城区建设。</w:t>
      </w:r>
      <w:r>
        <w:rPr>
          <w:rFonts w:hint="default" w:ascii="Times New Roman" w:hAnsi="Times New Roman" w:eastAsia="仿宋_GB2312" w:cs="Times New Roman"/>
          <w:sz w:val="32"/>
          <w:szCs w:val="32"/>
          <w:highlight w:val="none"/>
          <w:u w:val="none"/>
        </w:rPr>
        <w:t>实施低碳产业发展战略，大力发展低碳产业、低碳交通、低碳建筑、低碳能源。建立健全促进低碳产业发展、鼓励低碳产品应用的政策法规体系和市场交易体系。引导低碳绿色消费，倡导节俭理性的低碳生活方式，使节能、节水、垃圾分类、资源回收利用逐步成为市民的自觉行动，不断提升城市文明程度。倡导绿色生活方式，开展绿色生活创建活动，普遍推行垃圾分类，培养生活习惯，建立长效机制，坚决杜绝“舌尖上的浪费”。积极倡导绿色消费模式，深入开展反过度包装、反食品浪费、反过度消费行动，推动形成崇尚勤俭节约、低碳环保的社会风尚。落实公共机构领域节能，构建简约绿色办公方式。提倡节能照明、节能家电等低碳消费，营造全民应对气候变化的良好环境，让生态文明理念成为全区人民的自觉行为。</w:t>
      </w:r>
    </w:p>
    <w:tbl>
      <w:tblPr>
        <w:tblStyle w:val="30"/>
        <w:tblW w:w="840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447"/>
        <w:gridCol w:w="6953"/>
      </w:tblGrid>
      <w:tr w14:paraId="2D2D12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64" w:hRule="atLeast"/>
          <w:jc w:val="center"/>
        </w:trPr>
        <w:tc>
          <w:tcPr>
            <w:tcW w:w="8400" w:type="dxa"/>
            <w:gridSpan w:val="2"/>
            <w:tcBorders>
              <w:top w:val="single" w:color="auto" w:sz="12" w:space="0"/>
              <w:bottom w:val="single" w:color="auto" w:sz="4" w:space="0"/>
            </w:tcBorders>
            <w:vAlign w:val="center"/>
          </w:tcPr>
          <w:p w14:paraId="7FD1C2DA">
            <w:pPr>
              <w:spacing w:line="320" w:lineRule="exact"/>
              <w:jc w:val="center"/>
              <w:rPr>
                <w:rFonts w:hint="default" w:ascii="Times New Roman" w:hAnsi="Times New Roman" w:eastAsia="宋体" w:cs="Times New Roman"/>
                <w:b/>
                <w:bCs/>
                <w:color w:val="000000"/>
                <w:sz w:val="24"/>
                <w:szCs w:val="24"/>
                <w:highlight w:val="none"/>
                <w:u w:val="none"/>
              </w:rPr>
            </w:pPr>
            <w:bookmarkStart w:id="91" w:name="OLE_LINK7"/>
            <w:r>
              <w:rPr>
                <w:rFonts w:hint="default" w:ascii="Times New Roman" w:hAnsi="Times New Roman" w:eastAsia="宋体" w:cs="Times New Roman"/>
                <w:b/>
                <w:bCs/>
                <w:color w:val="000000"/>
                <w:sz w:val="24"/>
                <w:szCs w:val="24"/>
                <w:highlight w:val="none"/>
                <w:u w:val="none"/>
              </w:rPr>
              <w:t>专栏19 生态建设重大工程项目</w:t>
            </w:r>
          </w:p>
        </w:tc>
      </w:tr>
      <w:tr w14:paraId="3A4EDC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0" w:hRule="atLeast"/>
          <w:jc w:val="center"/>
        </w:trPr>
        <w:tc>
          <w:tcPr>
            <w:tcW w:w="1447" w:type="dxa"/>
            <w:tcBorders>
              <w:top w:val="single" w:color="auto" w:sz="4" w:space="0"/>
              <w:right w:val="single" w:color="auto" w:sz="4" w:space="0"/>
            </w:tcBorders>
            <w:vAlign w:val="center"/>
          </w:tcPr>
          <w:p w14:paraId="3520ACE9">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名称</w:t>
            </w:r>
          </w:p>
        </w:tc>
        <w:tc>
          <w:tcPr>
            <w:tcW w:w="6953" w:type="dxa"/>
            <w:tcBorders>
              <w:top w:val="single" w:color="auto" w:sz="4" w:space="0"/>
              <w:left w:val="single" w:color="auto" w:sz="4" w:space="0"/>
            </w:tcBorders>
            <w:vAlign w:val="center"/>
          </w:tcPr>
          <w:p w14:paraId="419633D2">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重点工程项目</w:t>
            </w:r>
          </w:p>
        </w:tc>
      </w:tr>
      <w:tr w14:paraId="2D42AAA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046" w:hRule="atLeast"/>
          <w:jc w:val="center"/>
        </w:trPr>
        <w:tc>
          <w:tcPr>
            <w:tcW w:w="1447" w:type="dxa"/>
            <w:tcBorders>
              <w:right w:val="single" w:color="auto" w:sz="4" w:space="0"/>
            </w:tcBorders>
            <w:vAlign w:val="center"/>
          </w:tcPr>
          <w:p w14:paraId="7E70D2B5">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生态建设重大工程</w:t>
            </w:r>
          </w:p>
        </w:tc>
        <w:tc>
          <w:tcPr>
            <w:tcW w:w="6953" w:type="dxa"/>
            <w:tcBorders>
              <w:left w:val="single" w:color="auto" w:sz="4" w:space="0"/>
            </w:tcBorders>
            <w:vAlign w:val="center"/>
          </w:tcPr>
          <w:p w14:paraId="49506BC1">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重点推进“三北”防护林工程、天然林保护工程、森林抚育项目</w:t>
            </w:r>
            <w:r>
              <w:rPr>
                <w:rFonts w:hint="default" w:ascii="Times New Roman" w:hAnsi="Times New Roman" w:eastAsia="宋体" w:cs="Times New Roman"/>
                <w:color w:val="000000"/>
                <w:sz w:val="24"/>
                <w:szCs w:val="24"/>
                <w:highlight w:val="none"/>
                <w:u w:val="none"/>
                <w:lang w:eastAsia="zh-CN"/>
              </w:rPr>
              <w:t>、</w:t>
            </w:r>
            <w:r>
              <w:rPr>
                <w:rFonts w:hint="default" w:ascii="Times New Roman" w:hAnsi="Times New Roman" w:eastAsia="宋体" w:cs="Times New Roman"/>
                <w:sz w:val="24"/>
                <w:szCs w:val="24"/>
                <w:highlight w:val="none"/>
                <w:u w:val="none"/>
              </w:rPr>
              <w:t>松花江生态修复一期工程、三江汇流区域国土绿化试点示范工程</w:t>
            </w:r>
            <w:r>
              <w:rPr>
                <w:rFonts w:hint="default" w:ascii="Times New Roman" w:hAnsi="Times New Roman" w:eastAsia="宋体" w:cs="Times New Roman"/>
                <w:sz w:val="24"/>
                <w:szCs w:val="24"/>
                <w:highlight w:val="none"/>
                <w:u w:val="none"/>
                <w:lang w:val="en-US" w:eastAsia="zh-CN"/>
              </w:rPr>
              <w:t>等</w:t>
            </w:r>
            <w:r>
              <w:rPr>
                <w:rFonts w:hint="default" w:ascii="Times New Roman" w:hAnsi="Times New Roman" w:eastAsia="宋体" w:cs="Times New Roman"/>
                <w:sz w:val="24"/>
                <w:szCs w:val="24"/>
                <w:highlight w:val="none"/>
                <w:u w:val="none"/>
              </w:rPr>
              <w:t>。</w:t>
            </w:r>
          </w:p>
        </w:tc>
      </w:tr>
      <w:tr w14:paraId="291CE3D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54" w:hRule="atLeast"/>
          <w:jc w:val="center"/>
        </w:trPr>
        <w:tc>
          <w:tcPr>
            <w:tcW w:w="1447" w:type="dxa"/>
            <w:tcBorders>
              <w:right w:val="single" w:color="auto" w:sz="4" w:space="0"/>
            </w:tcBorders>
            <w:vAlign w:val="center"/>
          </w:tcPr>
          <w:p w14:paraId="71996C7B">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生态环境治理保护修复工程</w:t>
            </w:r>
          </w:p>
        </w:tc>
        <w:tc>
          <w:tcPr>
            <w:tcW w:w="6953" w:type="dxa"/>
            <w:tcBorders>
              <w:left w:val="single" w:color="auto" w:sz="4" w:space="0"/>
            </w:tcBorders>
            <w:vAlign w:val="center"/>
          </w:tcPr>
          <w:p w14:paraId="25E3A425">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重点推进铃铛麦河、格节河、法斯河、阿凌达河、卧龙河、苏木河中小治理工程、郊区山洪灾害防治项目、郊区沿江堤防防护工程、郊区侵蚀沟综合治理工程、郊区水土保持监测项目等。</w:t>
            </w:r>
          </w:p>
        </w:tc>
      </w:tr>
      <w:tr w14:paraId="6D94C0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01" w:hRule="atLeast"/>
          <w:jc w:val="center"/>
        </w:trPr>
        <w:tc>
          <w:tcPr>
            <w:tcW w:w="1447" w:type="dxa"/>
            <w:tcBorders>
              <w:right w:val="single" w:color="auto" w:sz="4" w:space="0"/>
            </w:tcBorders>
            <w:vAlign w:val="center"/>
          </w:tcPr>
          <w:p w14:paraId="545DF5D0">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节能降碳专项行动</w:t>
            </w:r>
          </w:p>
        </w:tc>
        <w:tc>
          <w:tcPr>
            <w:tcW w:w="6953" w:type="dxa"/>
            <w:tcBorders>
              <w:left w:val="single" w:color="auto" w:sz="4" w:space="0"/>
            </w:tcBorders>
            <w:vAlign w:val="center"/>
          </w:tcPr>
          <w:p w14:paraId="676574A2">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重点实施中恒热电有限公司154兆瓦锅炉节能降碳改造项目等。</w:t>
            </w:r>
          </w:p>
        </w:tc>
      </w:tr>
      <w:tr w14:paraId="1B6E140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34" w:hRule="atLeast"/>
          <w:jc w:val="center"/>
        </w:trPr>
        <w:tc>
          <w:tcPr>
            <w:tcW w:w="1447" w:type="dxa"/>
            <w:tcBorders>
              <w:bottom w:val="single" w:color="auto" w:sz="12" w:space="0"/>
              <w:right w:val="single" w:color="auto" w:sz="4" w:space="0"/>
            </w:tcBorders>
            <w:vAlign w:val="center"/>
          </w:tcPr>
          <w:p w14:paraId="7E972EF1">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sz w:val="24"/>
                <w:szCs w:val="24"/>
                <w:highlight w:val="none"/>
                <w:u w:val="none"/>
              </w:rPr>
              <w:t>循环经济</w:t>
            </w:r>
          </w:p>
        </w:tc>
        <w:tc>
          <w:tcPr>
            <w:tcW w:w="6953" w:type="dxa"/>
            <w:tcBorders>
              <w:left w:val="single" w:color="auto" w:sz="4" w:space="0"/>
              <w:bottom w:val="single" w:color="auto" w:sz="12" w:space="0"/>
            </w:tcBorders>
            <w:vAlign w:val="center"/>
          </w:tcPr>
          <w:p w14:paraId="1A79BCF2">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积极引进和培育一批秸秆能源化、燃料化、饲料化等综合利用项目；重点实施2026年秸秆综合利用项目。</w:t>
            </w:r>
          </w:p>
        </w:tc>
      </w:tr>
      <w:bookmarkEnd w:id="91"/>
    </w:tbl>
    <w:p w14:paraId="4B19526D">
      <w:pPr>
        <w:keepNext w:val="0"/>
        <w:keepLines w:val="0"/>
        <w:pageBreakBefore w:val="0"/>
        <w:widowControl w:val="0"/>
        <w:kinsoku/>
        <w:wordWrap/>
        <w:overflowPunct w:val="0"/>
        <w:topLinePunct w:val="0"/>
        <w:autoSpaceDE w:val="0"/>
        <w:autoSpaceDN w:val="0"/>
        <w:bidi w:val="0"/>
        <w:adjustRightInd w:val="0"/>
        <w:snapToGrid/>
        <w:spacing w:before="95" w:beforeLines="3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92" w:name="_Toc216985881"/>
      <w:r>
        <w:rPr>
          <w:rFonts w:hint="default" w:ascii="Times New Roman" w:hAnsi="Times New Roman" w:eastAsia="方正小标宋简体" w:cs="Times New Roman"/>
          <w:b w:val="0"/>
          <w:bCs/>
          <w:sz w:val="32"/>
          <w:szCs w:val="32"/>
          <w:highlight w:val="none"/>
          <w:u w:val="none"/>
          <w:lang w:val="zh-CN"/>
        </w:rPr>
        <w:t xml:space="preserve">第九章 </w:t>
      </w:r>
      <w:bookmarkEnd w:id="50"/>
      <w:r>
        <w:rPr>
          <w:rFonts w:hint="default" w:ascii="Times New Roman" w:hAnsi="Times New Roman" w:eastAsia="方正小标宋简体" w:cs="Times New Roman"/>
          <w:b w:val="0"/>
          <w:bCs/>
          <w:sz w:val="32"/>
          <w:szCs w:val="32"/>
          <w:highlight w:val="none"/>
          <w:u w:val="none"/>
          <w:lang w:val="zh-CN"/>
        </w:rPr>
        <w:t>推动文化繁荣发展，建设龙江知名旅游目的地</w:t>
      </w:r>
      <w:bookmarkEnd w:id="92"/>
    </w:p>
    <w:p w14:paraId="500CC74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坚持马克思主义在意识形态领域的指导地位，大力推进文化振兴，深度挖掘和活化利用特色历史文化，按照全域旅游发展理念，加快建设龙江知名旅游目的地，不断增强文化竞争力和影响力。</w:t>
      </w:r>
    </w:p>
    <w:p w14:paraId="5B3F8968">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93" w:name="_Toc216985882"/>
      <w:r>
        <w:rPr>
          <w:rFonts w:hint="default" w:ascii="Times New Roman" w:hAnsi="Times New Roman" w:eastAsia="黑体" w:cs="Times New Roman"/>
          <w:b w:val="0"/>
          <w:bCs w:val="0"/>
          <w:highlight w:val="none"/>
          <w:u w:val="none"/>
          <w:lang w:val="zh-CN"/>
        </w:rPr>
        <w:t>一、推进文体惠民工程</w:t>
      </w:r>
      <w:bookmarkEnd w:id="93"/>
    </w:p>
    <w:p w14:paraId="6105EB5C">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lang w:val="zh-CN"/>
        </w:rPr>
        <w:t>践行社会主义核心价值观。</w:t>
      </w:r>
      <w:r>
        <w:rPr>
          <w:rFonts w:hint="default" w:ascii="Times New Roman" w:hAnsi="Times New Roman" w:eastAsia="仿宋_GB2312" w:cs="Times New Roman"/>
          <w:color w:val="000000"/>
          <w:sz w:val="32"/>
          <w:szCs w:val="32"/>
          <w:highlight w:val="none"/>
          <w:u w:val="none"/>
        </w:rPr>
        <w:t>全面加强新时代精神文明建设，推动形成适应新时代要求的思想观念、精神风貌、文明风尚、行为规范。持续开展习近平新时代中国特色社会主义思想学习教育。加强党史、新中国史、改革开放史、社会主义发展史及爱国主义、集体主义、社会主义教育，发扬东北抗联精神、北大荒精神。</w:t>
      </w:r>
      <w:r>
        <w:rPr>
          <w:rFonts w:hint="default" w:ascii="Times New Roman" w:hAnsi="Times New Roman" w:eastAsia="仿宋_GB2312" w:cs="Times New Roman"/>
          <w:color w:val="000000"/>
          <w:sz w:val="32"/>
          <w:szCs w:val="32"/>
          <w:highlight w:val="none"/>
          <w:u w:val="none"/>
          <w:lang w:val="en-US" w:eastAsia="zh-CN"/>
        </w:rPr>
        <w:t>深化理想信念教育，开展群众性主题宣传教育活动，推动社会主义核心价值观入脑入心，</w:t>
      </w:r>
      <w:r>
        <w:rPr>
          <w:rFonts w:hint="default" w:ascii="Times New Roman" w:hAnsi="Times New Roman" w:eastAsia="仿宋_GB2312" w:cs="Times New Roman"/>
          <w:color w:val="000000"/>
          <w:sz w:val="32"/>
          <w:szCs w:val="32"/>
          <w:highlight w:val="none"/>
          <w:u w:val="none"/>
        </w:rPr>
        <w:t>推进社会公德、职业道德、家庭美德、个人品德建设。加强网络文明建设，发展积极健康的网络文化。弘扬诚信文化，建设诚信社会。加强家庭、家教、家风建设，提倡艰苦奋斗、勤俭节约，开展以劳动创造幸福为主题的宣传教育。健全志愿服务体系，广泛开展志愿服务关爱行动。落实党管青年原则，完善青年发展政策体系和工作机制，着力提升青年思想政治素质和全面发展水平，充分发挥青年在全面建设社会主义现代化国家新征程中的生力军和突击队作用。</w:t>
      </w:r>
    </w:p>
    <w:p w14:paraId="2F873BE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推动文体事业高水平发展。</w:t>
      </w:r>
      <w:r>
        <w:rPr>
          <w:rFonts w:hint="default" w:ascii="Times New Roman" w:hAnsi="Times New Roman" w:eastAsia="仿宋_GB2312" w:cs="Times New Roman"/>
          <w:color w:val="000000"/>
          <w:sz w:val="32"/>
          <w:szCs w:val="32"/>
          <w:highlight w:val="none"/>
          <w:u w:val="none"/>
        </w:rPr>
        <w:t>强化提升全区文体服务设施水平，推进公共文化设施免费开放和数字化建设。加快推进行政村文化活动广场、文化活动室全面提档升级。继续开展农家书屋系列活动，推动全民阅读、社区书屋、青工书屋、城市读书节等。加大体育健身设施建设和更新力度，重点解决我区群众冬季活动场所短缺问题，建设覆盖区、镇（乡）、村三级群众的健身场所，打造15分钟健身圈。积极推动城市漫游（City walk）、徒步、户外穿越等现代体育休闲项目，满足大众多层次、多样化的健身休闲消费需求。广泛开展群众性文体活动，打造群众性冰雪文化活动品牌，不断丰富业余冰雪活动赛事。培育体育市场主体，开发体育产业项目，加强竞技体育后备人才培养，完善青少年体育竞赛体系，提高竞技体育水平。大力推进智慧广电建设，加快有线广播电视网络数字化、网络化、智能化改造。到2030年，经常参加体育锻炼人数比例达到60%以上。</w:t>
      </w:r>
    </w:p>
    <w:p w14:paraId="1F25601C">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实施文化遗产活化工程。</w:t>
      </w:r>
      <w:r>
        <w:rPr>
          <w:rFonts w:hint="default" w:ascii="Times New Roman" w:hAnsi="Times New Roman" w:eastAsia="仿宋_GB2312" w:cs="Times New Roman"/>
          <w:color w:val="000000"/>
          <w:sz w:val="32"/>
          <w:szCs w:val="32"/>
          <w:highlight w:val="none"/>
          <w:u w:val="none"/>
        </w:rPr>
        <w:t>推进赫哲族鱼皮技艺、朝鲜族风情、抗联红色遗址三大核心文化遗产系统性保护与活态传承。实施文物修缮工程，建设数字化展示平台，开发沉浸式民俗演艺、红色研学课程及文化体验产品，实现文化遗产与旅游深度融合。深入</w:t>
      </w:r>
      <w:r>
        <w:rPr>
          <w:rFonts w:hint="default" w:ascii="Times New Roman" w:hAnsi="Times New Roman" w:eastAsia="仿宋_GB2312" w:cs="Times New Roman"/>
          <w:color w:val="000000"/>
          <w:sz w:val="32"/>
          <w:szCs w:val="32"/>
          <w:highlight w:val="none"/>
          <w:u w:val="none"/>
          <w:lang w:eastAsia="zh-CN"/>
        </w:rPr>
        <w:t>挖掘</w:t>
      </w:r>
      <w:r>
        <w:rPr>
          <w:rFonts w:hint="default" w:ascii="Times New Roman" w:hAnsi="Times New Roman" w:eastAsia="仿宋_GB2312" w:cs="Times New Roman"/>
          <w:color w:val="000000"/>
          <w:sz w:val="32"/>
          <w:szCs w:val="32"/>
          <w:highlight w:val="none"/>
          <w:u w:val="none"/>
        </w:rPr>
        <w:t>历史文化、红色文化、民族民俗文化等独特的历史文化资源，强化博物馆、展览馆等场馆建设，推动优秀传统文化创造性转化、创新性发展。加强历史文化街区及重点文物的保护修复，促进文化资源的有效保护和合理利用。</w:t>
      </w:r>
    </w:p>
    <w:tbl>
      <w:tblPr>
        <w:tblStyle w:val="30"/>
        <w:tblW w:w="866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25"/>
        <w:gridCol w:w="7035"/>
      </w:tblGrid>
      <w:tr w14:paraId="2239980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7" w:hRule="atLeast"/>
          <w:jc w:val="center"/>
        </w:trPr>
        <w:tc>
          <w:tcPr>
            <w:tcW w:w="8660" w:type="dxa"/>
            <w:gridSpan w:val="2"/>
            <w:tcBorders>
              <w:top w:val="single" w:color="auto" w:sz="12" w:space="0"/>
            </w:tcBorders>
            <w:vAlign w:val="center"/>
          </w:tcPr>
          <w:p w14:paraId="77E4DE8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专栏20</w:t>
            </w:r>
            <w:r>
              <w:rPr>
                <w:rFonts w:hint="default" w:ascii="Times New Roman" w:hAnsi="Times New Roman" w:eastAsia="宋体" w:cs="Times New Roman"/>
                <w:b/>
                <w:bCs/>
                <w:color w:val="000000"/>
                <w:sz w:val="24"/>
                <w:szCs w:val="24"/>
                <w:highlight w:val="none"/>
                <w:u w:val="none"/>
                <w:lang w:val="zh-CN"/>
              </w:rPr>
              <w:t xml:space="preserve"> 文体惠民重点工程</w:t>
            </w:r>
          </w:p>
        </w:tc>
      </w:tr>
      <w:tr w14:paraId="1A83978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46" w:hRule="atLeast"/>
          <w:jc w:val="center"/>
        </w:trPr>
        <w:tc>
          <w:tcPr>
            <w:tcW w:w="1625" w:type="dxa"/>
            <w:tcBorders>
              <w:right w:val="single" w:color="auto" w:sz="4" w:space="0"/>
            </w:tcBorders>
            <w:vAlign w:val="center"/>
          </w:tcPr>
          <w:p w14:paraId="168A9E1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035" w:type="dxa"/>
            <w:tcBorders>
              <w:left w:val="single" w:color="auto" w:sz="4" w:space="0"/>
            </w:tcBorders>
            <w:vAlign w:val="center"/>
          </w:tcPr>
          <w:p w14:paraId="5EDE8AE7">
            <w:pPr>
              <w:spacing w:line="320" w:lineRule="exact"/>
              <w:jc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2C4234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20" w:hRule="atLeast"/>
          <w:jc w:val="center"/>
        </w:trPr>
        <w:tc>
          <w:tcPr>
            <w:tcW w:w="1625" w:type="dxa"/>
            <w:tcBorders>
              <w:right w:val="single" w:color="auto" w:sz="4" w:space="0"/>
            </w:tcBorders>
            <w:vAlign w:val="center"/>
          </w:tcPr>
          <w:p w14:paraId="5F520A4B">
            <w:pPr>
              <w:spacing w:line="320" w:lineRule="exact"/>
              <w:jc w:val="center"/>
              <w:rPr>
                <w:rFonts w:hint="eastAsia" w:ascii="Times New Roman" w:hAnsi="Times New Roman" w:eastAsia="宋体" w:cs="Times New Roman"/>
                <w:b/>
                <w:bCs/>
                <w:color w:val="000000"/>
                <w:sz w:val="24"/>
                <w:szCs w:val="24"/>
                <w:highlight w:val="none"/>
                <w:u w:val="none"/>
                <w:lang w:val="en-US" w:eastAsia="zh-CN"/>
              </w:rPr>
            </w:pPr>
            <w:r>
              <w:rPr>
                <w:rFonts w:hint="default" w:ascii="Times New Roman" w:hAnsi="Times New Roman" w:eastAsia="宋体" w:cs="Times New Roman"/>
                <w:b/>
                <w:bCs/>
                <w:color w:val="000000"/>
                <w:sz w:val="24"/>
                <w:szCs w:val="24"/>
                <w:highlight w:val="none"/>
                <w:u w:val="none"/>
              </w:rPr>
              <w:t>文体</w:t>
            </w:r>
            <w:r>
              <w:rPr>
                <w:rFonts w:hint="eastAsia" w:ascii="Times New Roman" w:hAnsi="Times New Roman" w:eastAsia="宋体" w:cs="Times New Roman"/>
                <w:b/>
                <w:bCs/>
                <w:color w:val="000000"/>
                <w:sz w:val="24"/>
                <w:szCs w:val="24"/>
                <w:highlight w:val="none"/>
                <w:u w:val="none"/>
                <w:lang w:val="en-US" w:eastAsia="zh-CN"/>
              </w:rPr>
              <w:t>基础</w:t>
            </w:r>
          </w:p>
          <w:p w14:paraId="0E5B948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设施</w:t>
            </w:r>
          </w:p>
        </w:tc>
        <w:tc>
          <w:tcPr>
            <w:tcW w:w="7035" w:type="dxa"/>
            <w:tcBorders>
              <w:left w:val="single" w:color="auto" w:sz="4" w:space="0"/>
            </w:tcBorders>
            <w:vAlign w:val="center"/>
          </w:tcPr>
          <w:p w14:paraId="6A5DD1B0">
            <w:pPr>
              <w:spacing w:after="120"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实施郊区全民健身中心项目等。</w:t>
            </w:r>
          </w:p>
        </w:tc>
      </w:tr>
      <w:tr w14:paraId="3CF627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20" w:hRule="atLeast"/>
          <w:jc w:val="center"/>
        </w:trPr>
        <w:tc>
          <w:tcPr>
            <w:tcW w:w="1625" w:type="dxa"/>
            <w:tcBorders>
              <w:right w:val="single" w:color="auto" w:sz="4" w:space="0"/>
            </w:tcBorders>
            <w:vAlign w:val="center"/>
          </w:tcPr>
          <w:p w14:paraId="251A48F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文化遗产</w:t>
            </w:r>
          </w:p>
          <w:p w14:paraId="3B08A703">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保护</w:t>
            </w:r>
          </w:p>
        </w:tc>
        <w:tc>
          <w:tcPr>
            <w:tcW w:w="7035" w:type="dxa"/>
            <w:tcBorders>
              <w:left w:val="single" w:color="auto" w:sz="4" w:space="0"/>
            </w:tcBorders>
            <w:vAlign w:val="center"/>
          </w:tcPr>
          <w:p w14:paraId="55FBEE69">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实施佳木斯郊区赫哲族文博馆可移动文物预防性保护项目等。</w:t>
            </w:r>
          </w:p>
        </w:tc>
      </w:tr>
      <w:tr w14:paraId="2EBFA2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53" w:hRule="atLeast"/>
          <w:jc w:val="center"/>
        </w:trPr>
        <w:tc>
          <w:tcPr>
            <w:tcW w:w="1625" w:type="dxa"/>
            <w:tcBorders>
              <w:bottom w:val="single" w:color="auto" w:sz="12" w:space="0"/>
              <w:right w:val="single" w:color="auto" w:sz="4" w:space="0"/>
            </w:tcBorders>
            <w:vAlign w:val="center"/>
          </w:tcPr>
          <w:p w14:paraId="770B47B8">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思想道德</w:t>
            </w:r>
          </w:p>
          <w:p w14:paraId="4A5864A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建设工程</w:t>
            </w:r>
          </w:p>
        </w:tc>
        <w:tc>
          <w:tcPr>
            <w:tcW w:w="7035" w:type="dxa"/>
            <w:tcBorders>
              <w:left w:val="single" w:color="auto" w:sz="4" w:space="0"/>
              <w:bottom w:val="single" w:color="auto" w:sz="12" w:space="0"/>
            </w:tcBorders>
            <w:vAlign w:val="center"/>
          </w:tcPr>
          <w:p w14:paraId="3C19397F">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推进实施马克思主义者培养工程、网络文明发展工程、青少年权益保护工程等；深入推进“护校安园”行动；深化青年志愿者行动。</w:t>
            </w:r>
          </w:p>
        </w:tc>
      </w:tr>
    </w:tbl>
    <w:p w14:paraId="15460926">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94" w:name="_Toc216985883"/>
      <w:r>
        <w:rPr>
          <w:rFonts w:hint="default" w:ascii="Times New Roman" w:hAnsi="Times New Roman" w:eastAsia="黑体" w:cs="Times New Roman"/>
          <w:b w:val="0"/>
          <w:bCs w:val="0"/>
          <w:highlight w:val="none"/>
          <w:u w:val="none"/>
          <w:lang w:val="zh-CN"/>
        </w:rPr>
        <w:t>二、积极打造全域旅游升级版</w:t>
      </w:r>
      <w:bookmarkEnd w:id="94"/>
    </w:p>
    <w:p w14:paraId="7C96A8B5">
      <w:pPr>
        <w:pStyle w:val="26"/>
        <w:keepNext w:val="0"/>
        <w:keepLines w:val="0"/>
        <w:pageBreakBefore w:val="0"/>
        <w:widowControl w:val="0"/>
        <w:kinsoku/>
        <w:wordWrap/>
        <w:overflowPunct w:val="0"/>
        <w:topLinePunct w:val="0"/>
        <w:autoSpaceDE/>
        <w:autoSpaceDN/>
        <w:bidi w:val="0"/>
        <w:adjustRightInd/>
        <w:snapToGrid/>
        <w:spacing w:before="0" w:beforeAutospacing="0" w:after="0" w:afterAutospacing="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构建全域全季旅游体系。</w:t>
      </w:r>
      <w:r>
        <w:rPr>
          <w:rFonts w:hint="default" w:ascii="Times New Roman" w:hAnsi="Times New Roman" w:eastAsia="仿宋_GB2312" w:cs="Times New Roman"/>
          <w:sz w:val="32"/>
          <w:szCs w:val="32"/>
          <w:highlight w:val="none"/>
          <w:u w:val="none"/>
        </w:rPr>
        <w:t>统筹全区农旅文产业资源，以友谊路、红旗</w:t>
      </w:r>
      <w:r>
        <w:rPr>
          <w:rFonts w:hint="default" w:ascii="Times New Roman" w:hAnsi="Times New Roman" w:eastAsia="仿宋_GB2312" w:cs="Times New Roman"/>
          <w:sz w:val="32"/>
          <w:szCs w:val="32"/>
          <w:highlight w:val="none"/>
          <w:u w:val="none"/>
          <w:lang w:eastAsia="zh-CN"/>
        </w:rPr>
        <w:t>街为</w:t>
      </w:r>
      <w:r>
        <w:rPr>
          <w:rFonts w:hint="default" w:ascii="Times New Roman" w:hAnsi="Times New Roman" w:eastAsia="仿宋_GB2312" w:cs="Times New Roman"/>
          <w:sz w:val="32"/>
          <w:szCs w:val="32"/>
          <w:highlight w:val="none"/>
          <w:u w:val="none"/>
        </w:rPr>
        <w:t>纽带，以机场和沿江公路、通乡公路为支撑，与佳木斯各区、汤原、桦川、桦南等县构建交通畅联的立体化旅游通道。加快打造“一核四区五线”旅游空间布局，形成点状辐射、带状串联、协同互补、差异化发展新局面。</w:t>
      </w:r>
    </w:p>
    <w:tbl>
      <w:tblPr>
        <w:tblStyle w:val="30"/>
        <w:tblW w:w="842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15"/>
        <w:gridCol w:w="7205"/>
      </w:tblGrid>
      <w:tr w14:paraId="723EA50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549" w:hRule="atLeast"/>
          <w:jc w:val="center"/>
        </w:trPr>
        <w:tc>
          <w:tcPr>
            <w:tcW w:w="8420" w:type="dxa"/>
            <w:gridSpan w:val="2"/>
            <w:tcBorders>
              <w:top w:val="single" w:color="auto" w:sz="12" w:space="0"/>
            </w:tcBorders>
            <w:vAlign w:val="center"/>
          </w:tcPr>
          <w:p w14:paraId="291CFBB6">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eastAsia="宋体" w:cs="Times New Roman"/>
                <w:b/>
                <w:bCs/>
                <w:color w:val="000000"/>
                <w:sz w:val="24"/>
                <w:szCs w:val="28"/>
                <w:highlight w:val="none"/>
                <w:u w:val="none"/>
              </w:rPr>
              <w:t>专栏21 优化全域旅游空间布局</w:t>
            </w:r>
          </w:p>
        </w:tc>
      </w:tr>
      <w:tr w14:paraId="25957A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3" w:hRule="atLeast"/>
          <w:jc w:val="center"/>
        </w:trPr>
        <w:tc>
          <w:tcPr>
            <w:tcW w:w="1215" w:type="dxa"/>
            <w:tcBorders>
              <w:right w:val="single" w:color="auto" w:sz="4" w:space="0"/>
            </w:tcBorders>
            <w:vAlign w:val="center"/>
          </w:tcPr>
          <w:p w14:paraId="7E3FBF3D">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分类</w:t>
            </w:r>
          </w:p>
        </w:tc>
        <w:tc>
          <w:tcPr>
            <w:tcW w:w="7205" w:type="dxa"/>
            <w:tcBorders>
              <w:left w:val="single" w:color="auto" w:sz="4" w:space="0"/>
            </w:tcBorders>
            <w:vAlign w:val="center"/>
          </w:tcPr>
          <w:p w14:paraId="37568E68">
            <w:pPr>
              <w:spacing w:line="320" w:lineRule="exact"/>
              <w:jc w:val="center"/>
              <w:rPr>
                <w:rFonts w:hint="default" w:ascii="Times New Roman" w:hAnsi="Times New Roman" w:cs="Times New Roman"/>
                <w:b/>
                <w:bCs/>
                <w:color w:val="000000"/>
                <w:sz w:val="24"/>
                <w:szCs w:val="24"/>
                <w:highlight w:val="none"/>
                <w:u w:val="none"/>
              </w:rPr>
            </w:pPr>
            <w:r>
              <w:rPr>
                <w:rFonts w:hint="default" w:ascii="Times New Roman" w:hAnsi="Times New Roman" w:cs="Times New Roman"/>
                <w:b/>
                <w:bCs/>
                <w:color w:val="000000"/>
                <w:sz w:val="24"/>
                <w:szCs w:val="24"/>
                <w:highlight w:val="none"/>
                <w:u w:val="none"/>
              </w:rPr>
              <w:t>重点项目</w:t>
            </w:r>
          </w:p>
        </w:tc>
      </w:tr>
      <w:tr w14:paraId="06EB256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39" w:hRule="atLeast"/>
          <w:jc w:val="center"/>
        </w:trPr>
        <w:tc>
          <w:tcPr>
            <w:tcW w:w="1215" w:type="dxa"/>
            <w:tcBorders>
              <w:right w:val="single" w:color="auto" w:sz="4" w:space="0"/>
            </w:tcBorders>
            <w:vAlign w:val="center"/>
          </w:tcPr>
          <w:p w14:paraId="2E26CF5F">
            <w:pPr>
              <w:spacing w:line="320" w:lineRule="exact"/>
              <w:ind w:firstLine="241" w:firstLineChars="100"/>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一核</w:t>
            </w:r>
          </w:p>
        </w:tc>
        <w:tc>
          <w:tcPr>
            <w:tcW w:w="7205" w:type="dxa"/>
            <w:tcBorders>
              <w:left w:val="single" w:color="auto" w:sz="4" w:space="0"/>
            </w:tcBorders>
            <w:vAlign w:val="center"/>
          </w:tcPr>
          <w:p w14:paraId="5F239D43">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即敖其湾赫哲族旅游区。</w:t>
            </w:r>
          </w:p>
        </w:tc>
      </w:tr>
      <w:tr w14:paraId="2F04A1A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13" w:hRule="atLeast"/>
          <w:jc w:val="center"/>
        </w:trPr>
        <w:tc>
          <w:tcPr>
            <w:tcW w:w="1215" w:type="dxa"/>
            <w:tcBorders>
              <w:right w:val="single" w:color="auto" w:sz="4" w:space="0"/>
            </w:tcBorders>
            <w:vAlign w:val="center"/>
          </w:tcPr>
          <w:p w14:paraId="4B93516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四区</w:t>
            </w:r>
          </w:p>
        </w:tc>
        <w:tc>
          <w:tcPr>
            <w:tcW w:w="7205" w:type="dxa"/>
            <w:tcBorders>
              <w:left w:val="single" w:color="auto" w:sz="4" w:space="0"/>
            </w:tcBorders>
            <w:vAlign w:val="center"/>
          </w:tcPr>
          <w:p w14:paraId="189EAE0A">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重点打造西部“赫哲文化沉浸式体验区”、南部“原生态乡村休闲区”、东部“亲子郊野欢乐区”、北部“稻田湿地融合度假区”。</w:t>
            </w:r>
          </w:p>
        </w:tc>
      </w:tr>
      <w:tr w14:paraId="6D1F49E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73" w:hRule="atLeast"/>
          <w:jc w:val="center"/>
        </w:trPr>
        <w:tc>
          <w:tcPr>
            <w:tcW w:w="1215" w:type="dxa"/>
            <w:tcBorders>
              <w:bottom w:val="single" w:color="auto" w:sz="12" w:space="0"/>
              <w:right w:val="single" w:color="auto" w:sz="4" w:space="0"/>
            </w:tcBorders>
            <w:vAlign w:val="center"/>
          </w:tcPr>
          <w:p w14:paraId="3549E3EB">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五线</w:t>
            </w:r>
          </w:p>
        </w:tc>
        <w:tc>
          <w:tcPr>
            <w:tcW w:w="7205" w:type="dxa"/>
            <w:tcBorders>
              <w:left w:val="single" w:color="auto" w:sz="4" w:space="0"/>
              <w:bottom w:val="single" w:color="auto" w:sz="12" w:space="0"/>
            </w:tcBorders>
            <w:vAlign w:val="center"/>
          </w:tcPr>
          <w:p w14:paraId="7914E823">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一是西线“赫哲体验游”（串联松花江敖其湾滑雪场、耕读大樱桃采摘园、敖其湾赫哲族旅游区、龙源赫哲水寨、赫哲文化艺术中心、达勒花海）；二是南线“乡村休闲游”（串联山水渔业休闲山庄、杜鹃山风景区、苏木河场史馆、苏木河鹿场）；三是东线“郊野亲子游”（串联四丰山风景区、梦幻乐园游乐场、万鑫桃园、战狼丛林越野、滨湖采摘园、四丰山20号风车打卡点）；四是北线“稻田湿地游”（串联万庆稻田公园、新合朝鲜族村美食、北四合村露营地、晓丽葡萄园、东旺湿地）；五是红色文化体验游线路（串联佳木斯市日军侵华罪证陈列馆、郊区党史陈列室、邵云环烈士陵园、刘英俊纪念馆）。</w:t>
            </w:r>
          </w:p>
        </w:tc>
      </w:tr>
    </w:tbl>
    <w:p w14:paraId="678A667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bookmarkStart w:id="95" w:name="OLE_LINK10"/>
      <w:r>
        <w:rPr>
          <w:rFonts w:hint="default" w:ascii="Times New Roman" w:hAnsi="Times New Roman" w:eastAsia="仿宋_GB2312" w:cs="Times New Roman"/>
          <w:b/>
          <w:bCs/>
          <w:sz w:val="32"/>
          <w:szCs w:val="32"/>
          <w:highlight w:val="none"/>
          <w:u w:val="none"/>
        </w:rPr>
        <w:t>丰富旅游产品供给。</w:t>
      </w:r>
      <w:bookmarkEnd w:id="95"/>
      <w:r>
        <w:rPr>
          <w:rFonts w:hint="default" w:ascii="Times New Roman" w:hAnsi="Times New Roman" w:eastAsia="仿宋_GB2312" w:cs="Times New Roman"/>
          <w:sz w:val="32"/>
          <w:szCs w:val="32"/>
          <w:highlight w:val="none"/>
          <w:u w:val="none"/>
        </w:rPr>
        <w:t>促进旅游与生态、民俗、农业、康养、研学等多产业有机融合发展，</w:t>
      </w:r>
      <w:r>
        <w:rPr>
          <w:rFonts w:hint="default" w:ascii="Times New Roman" w:hAnsi="Times New Roman" w:eastAsia="仿宋_GB2312" w:cs="Times New Roman"/>
          <w:sz w:val="32"/>
          <w:szCs w:val="32"/>
          <w:highlight w:val="none"/>
          <w:u w:val="none"/>
          <w:lang w:eastAsia="zh-CN"/>
        </w:rPr>
        <w:t>推动文旅产业从观光型向体验型、消费型、康养型转型，</w:t>
      </w:r>
      <w:r>
        <w:rPr>
          <w:rFonts w:hint="default" w:ascii="Times New Roman" w:hAnsi="Times New Roman" w:eastAsia="仿宋_GB2312" w:cs="Times New Roman"/>
          <w:sz w:val="32"/>
          <w:szCs w:val="32"/>
          <w:highlight w:val="none"/>
          <w:u w:val="none"/>
        </w:rPr>
        <w:t>加大对避暑休闲游、研学旅游、农业采摘游、康养旅游、体育旅游、民族特色游等旅游产品的扶持和开发力度，满足游客多样化的旅游需求。重点深化“四季全时”产品体系：春季依托猴石山、杜鹃山等自然景观发展踏青登山产品；夏季做强黑龙江达勒国家森林公园避暑与森林康养疗愈；秋季开展稻田公园农耕体验、采摘园沉浸式体验活动；冬季打造滑雪滑冰等特色冰雪活动，温泉康养等高品质冰雪旅游项目，开展青少年滑雪比赛、滑雪冬令营等冰雪活动，高品质打造“冰雪研学”主题旅游线路，串联滑雪场、文化艺术中心等景点景区，引导青少年深入了解冰雪运动、民俗文化，打造“春季踏青、夏季避暑、秋季赏山、冬季戏雪”的四季旅游线路。到2030年末，旅游接待人次达到300万人次，实现旅游综合收入5亿元。文旅产业链企业达20个</w:t>
      </w:r>
      <w:r>
        <w:rPr>
          <w:rFonts w:hint="eastAsia" w:ascii="Times New Roman" w:hAnsi="Times New Roman" w:eastAsia="宋体" w:cs="Times New Roman"/>
          <w:color w:val="000000"/>
          <w:sz w:val="24"/>
          <w:szCs w:val="24"/>
          <w:highlight w:val="none"/>
          <w:u w:val="none"/>
          <w:lang w:val="en-US" w:eastAsia="zh-CN"/>
        </w:rPr>
        <w:t>以上</w:t>
      </w:r>
      <w:r>
        <w:rPr>
          <w:rFonts w:hint="default" w:ascii="Times New Roman" w:hAnsi="Times New Roman" w:eastAsia="仿宋_GB2312" w:cs="Times New Roman"/>
          <w:sz w:val="32"/>
          <w:szCs w:val="32"/>
          <w:highlight w:val="none"/>
          <w:u w:val="none"/>
        </w:rPr>
        <w:t>，总产值达到1亿元，新增国家级乡村旅游重点村1个，省级乡村旅游重点村2个，新晋3A级旅游景区2个。</w:t>
      </w:r>
    </w:p>
    <w:tbl>
      <w:tblPr>
        <w:tblStyle w:val="30"/>
        <w:tblW w:w="8596"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89"/>
        <w:gridCol w:w="7207"/>
      </w:tblGrid>
      <w:tr w14:paraId="723AA1A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5" w:hRule="atLeast"/>
          <w:jc w:val="center"/>
        </w:trPr>
        <w:tc>
          <w:tcPr>
            <w:tcW w:w="8596" w:type="dxa"/>
            <w:gridSpan w:val="2"/>
            <w:tcBorders>
              <w:top w:val="single" w:color="auto" w:sz="12" w:space="0"/>
            </w:tcBorders>
            <w:vAlign w:val="center"/>
          </w:tcPr>
          <w:p w14:paraId="52787558">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eastAsia="宋体" w:cs="Times New Roman"/>
                <w:b/>
                <w:bCs/>
                <w:sz w:val="24"/>
                <w:szCs w:val="28"/>
                <w:highlight w:val="none"/>
                <w:u w:val="none"/>
              </w:rPr>
              <w:t>专栏22 全域旅游产品体系建设</w:t>
            </w:r>
          </w:p>
        </w:tc>
      </w:tr>
      <w:tr w14:paraId="584F175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4" w:hRule="atLeast"/>
          <w:jc w:val="center"/>
        </w:trPr>
        <w:tc>
          <w:tcPr>
            <w:tcW w:w="1389" w:type="dxa"/>
            <w:tcBorders>
              <w:right w:val="single" w:color="auto" w:sz="4" w:space="0"/>
            </w:tcBorders>
            <w:vAlign w:val="center"/>
          </w:tcPr>
          <w:p w14:paraId="4E58B16D">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分类</w:t>
            </w:r>
          </w:p>
        </w:tc>
        <w:tc>
          <w:tcPr>
            <w:tcW w:w="7206" w:type="dxa"/>
            <w:tcBorders>
              <w:left w:val="single" w:color="auto" w:sz="4" w:space="0"/>
            </w:tcBorders>
            <w:vAlign w:val="center"/>
          </w:tcPr>
          <w:p w14:paraId="3B9B8521">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重点内容</w:t>
            </w:r>
          </w:p>
        </w:tc>
      </w:tr>
      <w:tr w14:paraId="20378CF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9" w:hRule="atLeast"/>
          <w:jc w:val="center"/>
        </w:trPr>
        <w:tc>
          <w:tcPr>
            <w:tcW w:w="1389" w:type="dxa"/>
            <w:tcBorders>
              <w:right w:val="single" w:color="auto" w:sz="4" w:space="0"/>
            </w:tcBorders>
            <w:vAlign w:val="center"/>
          </w:tcPr>
          <w:p w14:paraId="6D3FEC20">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乡村旅游</w:t>
            </w:r>
          </w:p>
        </w:tc>
        <w:tc>
          <w:tcPr>
            <w:tcW w:w="7206" w:type="dxa"/>
            <w:tcBorders>
              <w:left w:val="single" w:color="auto" w:sz="4" w:space="0"/>
            </w:tcBorders>
            <w:vAlign w:val="center"/>
          </w:tcPr>
          <w:p w14:paraId="4852814F">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利用乡村特殊风貌，积极开发观光、农事体验、研学、康养等功能，建设一批主体类型多样、品牌特色鲜明的乡村旅游示范点。推广“农业基地+观光+加工销售”模式，发展农事体验、乡村旅居、健康养老等新业态。加快建设敖其湾赫哲族旅游区赫哲文化研学核心区、大来林场精品民宿集群等项目。</w:t>
            </w:r>
            <w:r>
              <w:rPr>
                <w:rFonts w:hint="default" w:ascii="Times New Roman" w:hAnsi="Times New Roman" w:eastAsia="宋体" w:cs="Times New Roman"/>
                <w:sz w:val="24"/>
                <w:szCs w:val="24"/>
                <w:highlight w:val="none"/>
                <w:u w:val="none"/>
                <w:lang w:val="en-US" w:eastAsia="zh-CN"/>
              </w:rPr>
              <w:t>到</w:t>
            </w:r>
            <w:r>
              <w:rPr>
                <w:rFonts w:hint="default" w:ascii="Times New Roman" w:hAnsi="Times New Roman" w:eastAsia="宋体" w:cs="Times New Roman"/>
                <w:sz w:val="24"/>
                <w:szCs w:val="24"/>
                <w:highlight w:val="none"/>
                <w:u w:val="none"/>
              </w:rPr>
              <w:t>2030年，新增国家级乡村旅游重点村1个、省级2个。</w:t>
            </w:r>
          </w:p>
        </w:tc>
      </w:tr>
      <w:tr w14:paraId="64324D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01" w:hRule="atLeast"/>
          <w:jc w:val="center"/>
        </w:trPr>
        <w:tc>
          <w:tcPr>
            <w:tcW w:w="1389" w:type="dxa"/>
            <w:tcBorders>
              <w:right w:val="single" w:color="auto" w:sz="4" w:space="0"/>
            </w:tcBorders>
            <w:vAlign w:val="center"/>
          </w:tcPr>
          <w:p w14:paraId="0E26B9D8">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文化旅游</w:t>
            </w:r>
          </w:p>
        </w:tc>
        <w:tc>
          <w:tcPr>
            <w:tcW w:w="7206" w:type="dxa"/>
            <w:tcBorders>
              <w:left w:val="single" w:color="auto" w:sz="4" w:space="0"/>
            </w:tcBorders>
            <w:vAlign w:val="center"/>
          </w:tcPr>
          <w:p w14:paraId="7EB44119">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加强民俗资源、红色文化的保护和利用，民俗旅游产品，重点推进赫哲文化艺术中心。开发红色旅游线路和产品，传承红色基因。</w:t>
            </w:r>
          </w:p>
        </w:tc>
      </w:tr>
      <w:tr w14:paraId="1C4BF9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92" w:hRule="atLeast"/>
          <w:jc w:val="center"/>
        </w:trPr>
        <w:tc>
          <w:tcPr>
            <w:tcW w:w="1389" w:type="dxa"/>
            <w:tcBorders>
              <w:right w:val="single" w:color="auto" w:sz="4" w:space="0"/>
            </w:tcBorders>
            <w:vAlign w:val="center"/>
          </w:tcPr>
          <w:p w14:paraId="78DAA768">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冰雪旅游</w:t>
            </w:r>
          </w:p>
        </w:tc>
        <w:tc>
          <w:tcPr>
            <w:tcW w:w="7206" w:type="dxa"/>
            <w:tcBorders>
              <w:left w:val="single" w:color="auto" w:sz="4" w:space="0"/>
            </w:tcBorders>
            <w:vAlign w:val="center"/>
          </w:tcPr>
          <w:p w14:paraId="77553E82">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发展雪地足球、滑冰车等冰雪户外运动，打造品牌赛事，培育拓展“冰雪研学”主题旅游线路，推进雪地温泉康养等高品质冰雪旅游项目，提升松花江敖其湾滑雪场等冰雪旅游景区设施水平和服务质量。</w:t>
            </w:r>
          </w:p>
        </w:tc>
      </w:tr>
      <w:tr w14:paraId="31B7078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126" w:hRule="atLeast"/>
          <w:jc w:val="center"/>
        </w:trPr>
        <w:tc>
          <w:tcPr>
            <w:tcW w:w="1389" w:type="dxa"/>
            <w:tcBorders>
              <w:right w:val="single" w:color="auto" w:sz="4" w:space="0"/>
            </w:tcBorders>
            <w:vAlign w:val="center"/>
          </w:tcPr>
          <w:p w14:paraId="29B4B829">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文旅康养</w:t>
            </w:r>
          </w:p>
        </w:tc>
        <w:tc>
          <w:tcPr>
            <w:tcW w:w="7206" w:type="dxa"/>
            <w:tcBorders>
              <w:left w:val="single" w:color="auto" w:sz="4" w:space="0"/>
            </w:tcBorders>
            <w:vAlign w:val="center"/>
          </w:tcPr>
          <w:p w14:paraId="1509BD7C">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 xml:space="preserve">围绕康养+避暑、花草养生茶等，开发户外运动、休闲康养、自然疗愈等产品体系。重点打造达勒花海康养区，建成森林观光步道6公里。鼓励医疗机构、养老机构，合作开展医养结合服务。大力发展花海森林生态康养和自然疗愈基地，结合青少年自然教育、户外艺术展等公益活动。到2030年，打造区域性特色森林康养旅游产品，形成特色鲜明的旅游精品线路，建成森林花海疗愈康养旅游目的地。 </w:t>
            </w:r>
          </w:p>
        </w:tc>
      </w:tr>
      <w:tr w14:paraId="5E86BED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9" w:hRule="atLeast"/>
          <w:jc w:val="center"/>
        </w:trPr>
        <w:tc>
          <w:tcPr>
            <w:tcW w:w="1389" w:type="dxa"/>
            <w:tcBorders>
              <w:bottom w:val="single" w:color="auto" w:sz="12" w:space="0"/>
              <w:right w:val="single" w:color="auto" w:sz="4" w:space="0"/>
            </w:tcBorders>
            <w:vAlign w:val="center"/>
          </w:tcPr>
          <w:p w14:paraId="55A98D54">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休闲观光旅游</w:t>
            </w:r>
          </w:p>
        </w:tc>
        <w:tc>
          <w:tcPr>
            <w:tcW w:w="7206" w:type="dxa"/>
            <w:tcBorders>
              <w:left w:val="single" w:color="auto" w:sz="4" w:space="0"/>
              <w:bottom w:val="single" w:color="auto" w:sz="12" w:space="0"/>
            </w:tcBorders>
            <w:vAlign w:val="center"/>
          </w:tcPr>
          <w:p w14:paraId="649FB8F0">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积极打造松花江生态休闲区，扩展松花江夏季避暑影响力，滨水民宿集群、夜游灯光秀（联动佳滨路景观带）、达勒花海开发等</w:t>
            </w:r>
            <w:r>
              <w:rPr>
                <w:rFonts w:hint="eastAsia" w:ascii="Times New Roman" w:hAnsi="Times New Roman" w:eastAsia="宋体" w:cs="Times New Roman"/>
                <w:sz w:val="24"/>
                <w:szCs w:val="24"/>
                <w:highlight w:val="none"/>
                <w:u w:val="none"/>
                <w:lang w:val="en-US" w:eastAsia="zh-CN"/>
              </w:rPr>
              <w:t>项目</w:t>
            </w:r>
            <w:r>
              <w:rPr>
                <w:rFonts w:hint="default" w:ascii="Times New Roman" w:hAnsi="Times New Roman" w:eastAsia="宋体" w:cs="Times New Roman"/>
                <w:sz w:val="24"/>
                <w:szCs w:val="24"/>
                <w:highlight w:val="none"/>
                <w:u w:val="none"/>
              </w:rPr>
              <w:t>。支持乡镇建设自驾游营地，打造自驾游、自助游旅游产品。</w:t>
            </w:r>
          </w:p>
        </w:tc>
      </w:tr>
    </w:tbl>
    <w:p w14:paraId="119CCC8E">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lang w:val="zh-CN"/>
        </w:rPr>
        <w:t>全面开拓旅游市场</w:t>
      </w:r>
      <w:r>
        <w:rPr>
          <w:rFonts w:hint="default" w:ascii="Times New Roman" w:hAnsi="Times New Roman" w:eastAsia="仿宋_GB2312" w:cs="Times New Roman"/>
          <w:b/>
          <w:bCs/>
          <w:sz w:val="32"/>
          <w:szCs w:val="32"/>
          <w:highlight w:val="none"/>
          <w:u w:val="none"/>
        </w:rPr>
        <w:t>。</w:t>
      </w:r>
      <w:r>
        <w:rPr>
          <w:rFonts w:hint="default" w:ascii="Times New Roman" w:hAnsi="Times New Roman" w:eastAsia="仿宋_GB2312" w:cs="Times New Roman"/>
          <w:sz w:val="32"/>
          <w:szCs w:val="32"/>
          <w:highlight w:val="none"/>
          <w:u w:val="none"/>
        </w:rPr>
        <w:t>引进企业和开发建设精品旅游项目，培育壮大旅游产业实力。鼓励招引专业旅游开发公司与我区开展战略合作，对重点景点进行委托运营或以运营前置方式共同开发新旅游景区。积极利用国家省市各类资金支持，旅游区基础设施升级改造项目。积极纳入省市旅游大格局，加强与周边区县和相关旅游热点板块对接合作，共同拓展文化旅游市场，探索资源共享、线路互推、客源互送、信息互通、市场通融的区域旅游合作新模式。</w:t>
      </w:r>
    </w:p>
    <w:p w14:paraId="47602BBE">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塑造郊区特色的文旅体品牌。</w:t>
      </w:r>
      <w:r>
        <w:rPr>
          <w:rFonts w:hint="default" w:ascii="Times New Roman" w:hAnsi="Times New Roman" w:eastAsia="仿宋_GB2312" w:cs="Times New Roman"/>
          <w:sz w:val="32"/>
          <w:szCs w:val="32"/>
          <w:highlight w:val="none"/>
          <w:u w:val="none"/>
        </w:rPr>
        <w:t>宣传郊区旅游亮点，叫响“文旅名区”品牌。推出与文化旅游产业相配套的大型场景演艺精品，持续办好旅游文化节庆活动。做好新媒体宣传推广，拓展新媒体营销矩阵，充分利用媒体平台、电视、报纸、网络、新媒体等多种渠道，开展全方位、多层次的宣传推广活动，提高郊区文旅体品牌的知名度和美誉度。实施品牌提升行动</w:t>
      </w:r>
      <w:r>
        <w:rPr>
          <w:rFonts w:hint="default" w:ascii="Times New Roman" w:hAnsi="Times New Roman" w:eastAsia="仿宋_GB2312" w:cs="Times New Roman"/>
          <w:sz w:val="32"/>
          <w:szCs w:val="32"/>
          <w:highlight w:val="none"/>
          <w:u w:val="none"/>
          <w:lang w:val="en-US" w:eastAsia="zh-CN"/>
        </w:rPr>
        <w:t>与区域合作</w:t>
      </w:r>
      <w:r>
        <w:rPr>
          <w:rFonts w:hint="default" w:ascii="Times New Roman" w:hAnsi="Times New Roman" w:eastAsia="仿宋_GB2312" w:cs="Times New Roman"/>
          <w:sz w:val="32"/>
          <w:szCs w:val="32"/>
          <w:highlight w:val="none"/>
          <w:u w:val="none"/>
        </w:rPr>
        <w:t>，打造全域文旅体IP体系，塑造“美丽郊区”区域品牌。到2030年，培育文旅产业链企业</w:t>
      </w:r>
      <w:r>
        <w:rPr>
          <w:rFonts w:hint="default" w:ascii="Times New Roman" w:hAnsi="Times New Roman" w:eastAsia="仿宋_GB2312" w:cs="Times New Roman"/>
          <w:sz w:val="32"/>
          <w:szCs w:val="32"/>
          <w:highlight w:val="none"/>
          <w:u w:val="none"/>
          <w:lang w:val="en-US" w:eastAsia="zh-CN"/>
        </w:rPr>
        <w:t>50</w:t>
      </w:r>
      <w:r>
        <w:rPr>
          <w:rFonts w:hint="default" w:ascii="Times New Roman" w:hAnsi="Times New Roman" w:eastAsia="仿宋_GB2312" w:cs="Times New Roman"/>
          <w:sz w:val="32"/>
          <w:szCs w:val="32"/>
          <w:highlight w:val="none"/>
          <w:u w:val="none"/>
        </w:rPr>
        <w:t>家</w:t>
      </w:r>
      <w:r>
        <w:rPr>
          <w:rFonts w:hint="default"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，新增3家省级龙头企业</w:t>
      </w:r>
      <w:r>
        <w:rPr>
          <w:rFonts w:hint="default" w:ascii="Times New Roman" w:hAnsi="Times New Roman" w:eastAsia="仿宋_GB2312" w:cs="Times New Roman"/>
          <w:sz w:val="32"/>
          <w:szCs w:val="32"/>
          <w:highlight w:val="none"/>
          <w:u w:val="none"/>
          <w:lang w:val="en-US" w:eastAsia="zh-CN"/>
        </w:rPr>
        <w:t>以上</w:t>
      </w:r>
      <w:r>
        <w:rPr>
          <w:rFonts w:hint="default" w:ascii="Times New Roman" w:hAnsi="Times New Roman" w:eastAsia="仿宋_GB2312" w:cs="Times New Roman"/>
          <w:sz w:val="32"/>
          <w:szCs w:val="32"/>
          <w:highlight w:val="none"/>
          <w:u w:val="none"/>
        </w:rPr>
        <w:t>。</w:t>
      </w:r>
    </w:p>
    <w:p w14:paraId="3A27A243">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完善旅游公共服务体系。</w:t>
      </w:r>
      <w:r>
        <w:rPr>
          <w:rFonts w:hint="default" w:ascii="Times New Roman" w:hAnsi="Times New Roman" w:eastAsia="仿宋_GB2312" w:cs="Times New Roman"/>
          <w:sz w:val="32"/>
          <w:szCs w:val="32"/>
          <w:highlight w:val="none"/>
          <w:u w:val="none"/>
        </w:rPr>
        <w:t>提升旅游基础保障能力，增强敖其湾赫哲族旅游区游客接待中心核心枢纽功能，升级智慧管理中枢，集成客流监测、信息发布、应急调度功能。完善交通网络衔接，构建“快进慢游”综合交通旅游网络，实现景区与交通干线无缝对接，新增智慧停车场15处、标准化旅游厕所20座。推进重点景区游客服务中心升级改造，提升重点旅游区停车场、公厕、景观广场等配套服务设施，完善旅游产品展示、游客咨询服务、投诉举报受理、旅游应急指挥等功能。支持特色餐饮、休闲民宿等旅游服务业加快发展。着力提升旅游服务质量，按照旅游业相关国家、行业标准，提升旅游产品标准化水平，完善对林场、农场、农家乐以及乡村旅游服务机构管理和评价体系建设。</w:t>
      </w:r>
    </w:p>
    <w:p w14:paraId="1D88A6E1">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积极发展智慧旅游。</w:t>
      </w:r>
      <w:r>
        <w:rPr>
          <w:rFonts w:hint="default" w:ascii="Times New Roman" w:hAnsi="Times New Roman" w:eastAsia="仿宋_GB2312" w:cs="Times New Roman"/>
          <w:sz w:val="32"/>
          <w:szCs w:val="32"/>
          <w:highlight w:val="none"/>
          <w:u w:val="none"/>
        </w:rPr>
        <w:t>构建智慧文旅服务平台，谋划推进旅游大数据中心、旅游电子商务系统、旅游一卡通、智慧景区、旅行社、旅游商品销售网络等建设，实现对旅游景区尤其是重点景区的智能化管理和服务，整合客流监测、线上一键预订、AR智能导览功能，力争覆盖率超90%。加强旅游信息化基础设施建设，加快重点景区5G信号全覆盖。加快实现旅游景区监控系统建设，增强对旅游景区突发事件和自然灾害的掌控力度，缩短救援反应时间。</w:t>
      </w:r>
    </w:p>
    <w:tbl>
      <w:tblPr>
        <w:tblStyle w:val="30"/>
        <w:tblW w:w="849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68"/>
        <w:gridCol w:w="7122"/>
      </w:tblGrid>
      <w:tr w14:paraId="4D6130F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5" w:hRule="atLeast"/>
          <w:jc w:val="center"/>
        </w:trPr>
        <w:tc>
          <w:tcPr>
            <w:tcW w:w="8490" w:type="dxa"/>
            <w:gridSpan w:val="2"/>
            <w:tcBorders>
              <w:top w:val="single" w:color="auto" w:sz="12" w:space="0"/>
            </w:tcBorders>
            <w:vAlign w:val="center"/>
          </w:tcPr>
          <w:p w14:paraId="1E76C49B">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eastAsia="宋体" w:cs="Times New Roman"/>
                <w:b/>
                <w:bCs/>
                <w:sz w:val="24"/>
                <w:szCs w:val="28"/>
                <w:highlight w:val="none"/>
                <w:u w:val="none"/>
              </w:rPr>
              <w:t>专栏23 现代旅游重点工程项目</w:t>
            </w:r>
          </w:p>
        </w:tc>
      </w:tr>
      <w:tr w14:paraId="1DA685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63" w:hRule="atLeast"/>
          <w:jc w:val="center"/>
        </w:trPr>
        <w:tc>
          <w:tcPr>
            <w:tcW w:w="1368" w:type="dxa"/>
            <w:tcBorders>
              <w:right w:val="single" w:color="auto" w:sz="4" w:space="0"/>
            </w:tcBorders>
            <w:vAlign w:val="center"/>
          </w:tcPr>
          <w:p w14:paraId="24A17371">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分类</w:t>
            </w:r>
          </w:p>
        </w:tc>
        <w:tc>
          <w:tcPr>
            <w:tcW w:w="7122" w:type="dxa"/>
            <w:tcBorders>
              <w:left w:val="single" w:color="auto" w:sz="4" w:space="0"/>
            </w:tcBorders>
            <w:vAlign w:val="center"/>
          </w:tcPr>
          <w:p w14:paraId="60D6707E">
            <w:pPr>
              <w:spacing w:line="320" w:lineRule="exact"/>
              <w:jc w:val="center"/>
              <w:rPr>
                <w:rFonts w:hint="default" w:ascii="Times New Roman" w:hAnsi="Times New Roman" w:cs="Times New Roman"/>
                <w:b/>
                <w:bCs/>
                <w:sz w:val="24"/>
                <w:szCs w:val="24"/>
                <w:highlight w:val="none"/>
                <w:u w:val="none"/>
              </w:rPr>
            </w:pPr>
            <w:r>
              <w:rPr>
                <w:rFonts w:hint="default" w:ascii="Times New Roman" w:hAnsi="Times New Roman" w:cs="Times New Roman"/>
                <w:b/>
                <w:bCs/>
                <w:sz w:val="24"/>
                <w:szCs w:val="24"/>
                <w:highlight w:val="none"/>
                <w:u w:val="none"/>
              </w:rPr>
              <w:t>重点内容</w:t>
            </w:r>
          </w:p>
        </w:tc>
      </w:tr>
      <w:tr w14:paraId="78A4043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80" w:hRule="atLeast"/>
          <w:jc w:val="center"/>
        </w:trPr>
        <w:tc>
          <w:tcPr>
            <w:tcW w:w="1368" w:type="dxa"/>
            <w:tcBorders>
              <w:right w:val="single" w:color="auto" w:sz="4" w:space="0"/>
            </w:tcBorders>
            <w:vAlign w:val="center"/>
          </w:tcPr>
          <w:p w14:paraId="18638AB4">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旅游产品</w:t>
            </w:r>
          </w:p>
        </w:tc>
        <w:tc>
          <w:tcPr>
            <w:tcW w:w="7122" w:type="dxa"/>
            <w:tcBorders>
              <w:left w:val="single" w:color="auto" w:sz="4" w:space="0"/>
            </w:tcBorders>
            <w:vAlign w:val="center"/>
          </w:tcPr>
          <w:p w14:paraId="3DCCE618">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重点推进稻田公园农耕体验、黑龙江达勒国家森林公园生态康养、农耕体验休闲观光、赫哲文化研学体验、冰雪旅游体验等项目。</w:t>
            </w:r>
          </w:p>
        </w:tc>
      </w:tr>
      <w:tr w14:paraId="1D4C30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68" w:hRule="atLeast"/>
          <w:jc w:val="center"/>
        </w:trPr>
        <w:tc>
          <w:tcPr>
            <w:tcW w:w="1368" w:type="dxa"/>
            <w:tcBorders>
              <w:right w:val="single" w:color="auto" w:sz="4" w:space="0"/>
            </w:tcBorders>
            <w:vAlign w:val="center"/>
          </w:tcPr>
          <w:p w14:paraId="47431949">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旅游基础设施</w:t>
            </w:r>
          </w:p>
        </w:tc>
        <w:tc>
          <w:tcPr>
            <w:tcW w:w="7122" w:type="dxa"/>
            <w:tcBorders>
              <w:left w:val="single" w:color="auto" w:sz="4" w:space="0"/>
            </w:tcBorders>
            <w:vAlign w:val="center"/>
          </w:tcPr>
          <w:p w14:paraId="1CAEA70E">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重点推进敖其湾滑雪场提档升级项目、敖其湾赫哲族旅游区智慧提升项目、东极星月夜项目、飞龙在天温泉度假、黑龙江省星光文化旅游发展有限公司建设项目、光明屯朝鲜族特色街区改造项目等项目。</w:t>
            </w:r>
          </w:p>
        </w:tc>
      </w:tr>
      <w:tr w14:paraId="64BCB8E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99" w:hRule="atLeast"/>
          <w:jc w:val="center"/>
        </w:trPr>
        <w:tc>
          <w:tcPr>
            <w:tcW w:w="1368" w:type="dxa"/>
            <w:tcBorders>
              <w:right w:val="single" w:color="auto" w:sz="4" w:space="0"/>
            </w:tcBorders>
            <w:vAlign w:val="center"/>
          </w:tcPr>
          <w:p w14:paraId="0EE1EF92">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旅游服务体系</w:t>
            </w:r>
          </w:p>
        </w:tc>
        <w:tc>
          <w:tcPr>
            <w:tcW w:w="7122" w:type="dxa"/>
            <w:tcBorders>
              <w:left w:val="single" w:color="auto" w:sz="4" w:space="0"/>
            </w:tcBorders>
            <w:vAlign w:val="center"/>
          </w:tcPr>
          <w:p w14:paraId="5BDB554C">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推行景区数字化管理，实时发布旅游预警与服务质量数据。每年开展文旅从业人员标准化培训500人次。</w:t>
            </w:r>
          </w:p>
        </w:tc>
      </w:tr>
      <w:tr w14:paraId="77DAD88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8" w:hRule="atLeast"/>
          <w:jc w:val="center"/>
        </w:trPr>
        <w:tc>
          <w:tcPr>
            <w:tcW w:w="1368" w:type="dxa"/>
            <w:tcBorders>
              <w:bottom w:val="single" w:color="auto" w:sz="12" w:space="0"/>
              <w:right w:val="single" w:color="auto" w:sz="4" w:space="0"/>
            </w:tcBorders>
            <w:vAlign w:val="center"/>
          </w:tcPr>
          <w:p w14:paraId="370F56AE">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旅游节庆及宣传</w:t>
            </w:r>
          </w:p>
        </w:tc>
        <w:tc>
          <w:tcPr>
            <w:tcW w:w="7122" w:type="dxa"/>
            <w:tcBorders>
              <w:left w:val="single" w:color="auto" w:sz="4" w:space="0"/>
              <w:bottom w:val="single" w:color="auto" w:sz="12" w:space="0"/>
            </w:tcBorders>
            <w:vAlign w:val="center"/>
          </w:tcPr>
          <w:p w14:paraId="627D3158">
            <w:pPr>
              <w:spacing w:line="320" w:lineRule="exact"/>
              <w:jc w:val="lef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办好“露营音乐汇”“非遗文化进景区”“冰雪嘉年华”等节庆活动。</w:t>
            </w:r>
          </w:p>
        </w:tc>
      </w:tr>
      <w:bookmarkEnd w:id="51"/>
    </w:tbl>
    <w:p w14:paraId="78E8C47F">
      <w:pPr>
        <w:keepNext w:val="0"/>
        <w:keepLines w:val="0"/>
        <w:pageBreakBefore w:val="0"/>
        <w:widowControl w:val="0"/>
        <w:kinsoku/>
        <w:wordWrap/>
        <w:overflowPunct w:val="0"/>
        <w:topLinePunct w:val="0"/>
        <w:autoSpaceDE w:val="0"/>
        <w:autoSpaceDN w:val="0"/>
        <w:bidi w:val="0"/>
        <w:adjustRightInd w:val="0"/>
        <w:snapToGrid/>
        <w:spacing w:before="160" w:beforeLines="50" w:after="95" w:afterLines="3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96" w:name="_Toc216985884"/>
      <w:r>
        <w:rPr>
          <w:rFonts w:hint="default" w:ascii="Times New Roman" w:hAnsi="Times New Roman" w:eastAsia="方正小标宋简体" w:cs="Times New Roman"/>
          <w:b w:val="0"/>
          <w:bCs/>
          <w:sz w:val="32"/>
          <w:szCs w:val="32"/>
          <w:highlight w:val="none"/>
          <w:u w:val="none"/>
          <w:lang w:val="zh-CN"/>
        </w:rPr>
        <w:t xml:space="preserve">第十章 </w:t>
      </w:r>
      <w:bookmarkStart w:id="97" w:name="_Hlk209348980"/>
      <w:r>
        <w:rPr>
          <w:rFonts w:hint="default" w:ascii="Times New Roman" w:hAnsi="Times New Roman" w:eastAsia="方正小标宋简体" w:cs="Times New Roman"/>
          <w:b w:val="0"/>
          <w:bCs/>
          <w:sz w:val="32"/>
          <w:szCs w:val="32"/>
          <w:highlight w:val="none"/>
          <w:u w:val="none"/>
          <w:lang w:val="zh-CN"/>
        </w:rPr>
        <w:t>增进民生福祉</w:t>
      </w:r>
      <w:bookmarkEnd w:id="97"/>
      <w:r>
        <w:rPr>
          <w:rFonts w:hint="default" w:ascii="Times New Roman" w:hAnsi="Times New Roman" w:eastAsia="方正小标宋简体" w:cs="Times New Roman"/>
          <w:b w:val="0"/>
          <w:bCs/>
          <w:sz w:val="32"/>
          <w:szCs w:val="32"/>
          <w:highlight w:val="none"/>
          <w:u w:val="none"/>
          <w:lang w:val="zh-CN"/>
        </w:rPr>
        <w:t>，创造共享安居乐业的美好生活</w:t>
      </w:r>
      <w:bookmarkEnd w:id="96"/>
    </w:p>
    <w:p w14:paraId="14C7291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把保障和改善民生作为一切工作的出发点和落脚点，发挥市区同城优势，补齐民生短板，办好民生实事，筑牢安全稳定屏障，营造和谐稳定新局面，实现人民群众对美好幸福生活的向往，把郊区建设成为人民幸福安康、社会文明和谐的首善之区。</w:t>
      </w:r>
    </w:p>
    <w:p w14:paraId="377FE8AA">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98" w:name="_Toc216985885"/>
      <w:r>
        <w:rPr>
          <w:rFonts w:hint="default" w:ascii="Times New Roman" w:hAnsi="Times New Roman" w:eastAsia="黑体" w:cs="Times New Roman"/>
          <w:b w:val="0"/>
          <w:bCs w:val="0"/>
          <w:highlight w:val="none"/>
          <w:u w:val="none"/>
          <w:lang w:val="zh-CN"/>
        </w:rPr>
        <w:t>一、积极促进就业创业</w:t>
      </w:r>
      <w:bookmarkEnd w:id="98"/>
    </w:p>
    <w:p w14:paraId="410D9A0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深入实施充分就业工程。</w:t>
      </w:r>
      <w:r>
        <w:rPr>
          <w:rFonts w:hint="default" w:ascii="Times New Roman" w:hAnsi="Times New Roman" w:eastAsia="仿宋_GB2312" w:cs="Times New Roman"/>
          <w:color w:val="000000"/>
          <w:sz w:val="32"/>
          <w:szCs w:val="32"/>
          <w:highlight w:val="none"/>
          <w:u w:val="none"/>
        </w:rPr>
        <w:t>完善就业支持政策，加强就业政策与财税、金融、教育、社会保障等政策的有效衔接。构建重点群体就业支持体系，建设标准化就业服务平台，加快“家门口”就业服务站建设，打造“15分钟就业服务圈”，实现城区“充分就业社区”全覆盖。加大创业资金支持力度，完善针对创业者的社会保险补贴、公益性岗位补贴和创业担保贷款等政策。支持和规范发展新就业形态，包容灵活就业用工方式，支持新就业形态发展。拓宽就业渠道，针对农村转移劳动力、适龄残疾人、就业困难人员和退役军人等重点群体服务保障工作，适度增设城乡公益性岗位。强化劳动权益法治保障，严肃查处就业性别歧视等行为。强化劳动监察工作，积极运用大数据、上级推送、预警平台监测实现用工动态监管，坚持日常巡查与双随机抽查相结合，重点对工程、新业态等领域每年开展各类专项检查两次以上。严厉打击恶意欠薪行为，对重点欠薪企业实施100%全程监管，及时纠正违法行为。维护劳动者合法权益，畅通投诉举报渠道，确保投诉100%回应，受理案件结案率达98%以上。到2030年，全区累计实现城镇新增就业1.3万人，城镇零就业家庭保持动态清零，城镇失业人口占比控制在省定目标以内，确保失业风险有效化解。</w:t>
      </w:r>
    </w:p>
    <w:p w14:paraId="41DAB0F8">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99" w:name="_Toc216985886"/>
      <w:r>
        <w:rPr>
          <w:rFonts w:hint="default" w:ascii="Times New Roman" w:hAnsi="Times New Roman" w:eastAsia="黑体" w:cs="Times New Roman"/>
          <w:b w:val="0"/>
          <w:bCs w:val="0"/>
          <w:highlight w:val="none"/>
          <w:u w:val="none"/>
          <w:lang w:val="zh-CN"/>
        </w:rPr>
        <w:t>二、办好人民满意的教育</w:t>
      </w:r>
      <w:bookmarkEnd w:id="99"/>
    </w:p>
    <w:p w14:paraId="7EB5828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推动教育高质量发展。</w:t>
      </w:r>
      <w:r>
        <w:rPr>
          <w:rFonts w:hint="default" w:ascii="Times New Roman" w:hAnsi="Times New Roman" w:eastAsia="仿宋_GB2312" w:cs="Times New Roman"/>
          <w:sz w:val="32"/>
          <w:szCs w:val="32"/>
          <w:highlight w:val="none"/>
          <w:u w:val="none"/>
        </w:rPr>
        <w:t>实施基础教育扩优提质工程，结合区域人口流动趋势与城镇化发展进程，稳妥有序推动学校撤并与转型，不断优化教育资源布局。推进学前教育普及普惠发展，逐步落实学前教育免费政策，利用现有资源新建、改扩建</w:t>
      </w:r>
      <w:r>
        <w:rPr>
          <w:rFonts w:hint="default" w:ascii="Times New Roman" w:hAnsi="Times New Roman" w:eastAsia="仿宋_GB2312" w:cs="Times New Roman"/>
          <w:sz w:val="32"/>
          <w:szCs w:val="32"/>
          <w:highlight w:val="none"/>
          <w:u w:val="none"/>
          <w:lang w:val="en-US" w:eastAsia="zh-CN"/>
        </w:rPr>
        <w:t>公办</w:t>
      </w:r>
      <w:r>
        <w:rPr>
          <w:rFonts w:hint="default" w:ascii="Times New Roman" w:hAnsi="Times New Roman" w:eastAsia="仿宋_GB2312" w:cs="Times New Roman"/>
          <w:sz w:val="32"/>
          <w:szCs w:val="32"/>
          <w:highlight w:val="none"/>
          <w:u w:val="none"/>
        </w:rPr>
        <w:t>幼儿园，积极增加公办幼儿园优质学位，确保到2030年学前三年毛入园率达到93%，普惠率达到90%，公办园在园幼儿占比达到60%。</w:t>
      </w:r>
      <w:r>
        <w:rPr>
          <w:rFonts w:hint="default" w:ascii="Times New Roman" w:hAnsi="Times New Roman" w:eastAsia="仿宋_GB2312" w:cs="Times New Roman"/>
          <w:sz w:val="32"/>
          <w:szCs w:val="32"/>
          <w:highlight w:val="none"/>
          <w:u w:val="none"/>
          <w:lang w:val="en-US" w:eastAsia="zh-CN"/>
        </w:rPr>
        <w:t>探索</w:t>
      </w:r>
      <w:r>
        <w:rPr>
          <w:rFonts w:hint="default" w:ascii="Times New Roman" w:hAnsi="Times New Roman" w:eastAsia="仿宋_GB2312" w:cs="Times New Roman"/>
          <w:sz w:val="32"/>
          <w:szCs w:val="32"/>
          <w:highlight w:val="none"/>
          <w:u w:val="none"/>
        </w:rPr>
        <w:t>打造优质寄宿制学校并盘活闲置校舍。推动义务教育优质均衡发展，持续推进中小学片区化管理集团化办学模式，推进阳光体育运动，以十五小学为中心积极开展冰雪校园活动，以莲江口中学为中心打造“江北校园特色足球圈”，加快补齐体育、美育、劳动教育短板，健全德智体美劳全面培养体系，逐年降低肥胖率和近视率。深入实施县域普通高中振兴计划，持续加强松北高中基础学科建设、小语种学科建设，开展艺体特色高中学校创建。着力构建产教融合职教体系</w:t>
      </w:r>
      <w:r>
        <w:rPr>
          <w:rFonts w:hint="default" w:ascii="Times New Roman" w:hAnsi="Times New Roman" w:eastAsia="仿宋" w:cs="Times New Roman"/>
          <w:kern w:val="0"/>
          <w:sz w:val="32"/>
          <w:szCs w:val="32"/>
          <w:highlight w:val="none"/>
          <w:u w:val="none"/>
          <w:lang w:val="en-US" w:eastAsia="zh-CN" w:bidi="ar"/>
        </w:rPr>
        <w:t>，</w:t>
      </w:r>
      <w:r>
        <w:rPr>
          <w:rFonts w:hint="default" w:ascii="Times New Roman" w:hAnsi="Times New Roman" w:eastAsia="仿宋_GB2312" w:cs="Times New Roman"/>
          <w:sz w:val="32"/>
          <w:szCs w:val="32"/>
          <w:highlight w:val="none"/>
          <w:u w:val="none"/>
        </w:rPr>
        <w:t>重点推进我区与黑龙江农业职业技术学院、牡丹江大学产教融合“3+2贯通”培养，畅通企业用人渠道与学生就业路径。聚焦教师能力提升与队伍优化，持续开展教师培训，建立教师长效补充机制，优化教师年龄与学历结构，全面提升教育教学质量。</w:t>
      </w:r>
    </w:p>
    <w:p w14:paraId="62D93954">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健全教育投入保障机制。</w:t>
      </w:r>
      <w:r>
        <w:rPr>
          <w:rFonts w:hint="default" w:ascii="Times New Roman" w:hAnsi="Times New Roman" w:eastAsia="仿宋_GB2312" w:cs="Times New Roman"/>
          <w:sz w:val="32"/>
          <w:szCs w:val="32"/>
          <w:highlight w:val="none"/>
          <w:u w:val="none"/>
        </w:rPr>
        <w:t>落实并强化政府促进教育公平的主体责任，有效落实“两个只增不减”。整合教育资源，实现城乡教育均衡发展，改善学校办学条件，保障教育教学工作平稳有序开展。重点加强第二十中学与长青中学“城乡教育互助合作体”建设，加快将长青中学打造为城区西部优质初中。加大对家庭经济困难学生的资助，落实国家资助政策，持续保障困难学生资助全覆盖。努力提升教育信息化水平，推动人工智能等数字技术与教育教学深度融合，打造智慧校园。</w:t>
      </w:r>
    </w:p>
    <w:tbl>
      <w:tblPr>
        <w:tblStyle w:val="30"/>
        <w:tblW w:w="885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62"/>
        <w:gridCol w:w="7192"/>
      </w:tblGrid>
      <w:tr w14:paraId="3FD6C07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70" w:hRule="atLeast"/>
          <w:jc w:val="center"/>
        </w:trPr>
        <w:tc>
          <w:tcPr>
            <w:tcW w:w="8854" w:type="dxa"/>
            <w:gridSpan w:val="2"/>
            <w:tcBorders>
              <w:top w:val="single" w:color="auto" w:sz="12" w:space="0"/>
            </w:tcBorders>
            <w:vAlign w:val="center"/>
          </w:tcPr>
          <w:p w14:paraId="42793AEF">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专栏24 教育事业重点工程项目</w:t>
            </w:r>
          </w:p>
        </w:tc>
      </w:tr>
      <w:tr w14:paraId="7915B54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662" w:type="dxa"/>
            <w:tcBorders>
              <w:right w:val="single" w:color="auto" w:sz="4" w:space="0"/>
            </w:tcBorders>
            <w:vAlign w:val="center"/>
          </w:tcPr>
          <w:p w14:paraId="2CA330D6">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领域</w:t>
            </w:r>
          </w:p>
        </w:tc>
        <w:tc>
          <w:tcPr>
            <w:tcW w:w="7192" w:type="dxa"/>
            <w:tcBorders>
              <w:left w:val="single" w:color="auto" w:sz="4" w:space="0"/>
            </w:tcBorders>
            <w:vAlign w:val="center"/>
          </w:tcPr>
          <w:p w14:paraId="0B9548C7">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重点内容</w:t>
            </w:r>
          </w:p>
        </w:tc>
      </w:tr>
      <w:tr w14:paraId="628F9C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05" w:hRule="atLeast"/>
          <w:jc w:val="center"/>
        </w:trPr>
        <w:tc>
          <w:tcPr>
            <w:tcW w:w="1662" w:type="dxa"/>
            <w:tcBorders>
              <w:right w:val="single" w:color="auto" w:sz="4" w:space="0"/>
            </w:tcBorders>
            <w:vAlign w:val="center"/>
          </w:tcPr>
          <w:p w14:paraId="50D7A34E">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教育基础设施建设</w:t>
            </w:r>
          </w:p>
        </w:tc>
        <w:tc>
          <w:tcPr>
            <w:tcW w:w="7192" w:type="dxa"/>
            <w:tcBorders>
              <w:left w:val="single" w:color="auto" w:sz="4" w:space="0"/>
            </w:tcBorders>
            <w:vAlign w:val="center"/>
          </w:tcPr>
          <w:p w14:paraId="0E3CF31A">
            <w:pPr>
              <w:spacing w:line="320" w:lineRule="exact"/>
              <w:jc w:val="left"/>
              <w:rPr>
                <w:rFonts w:hint="default" w:ascii="Times New Roman" w:hAnsi="Times New Roman" w:eastAsia="宋体" w:cs="Times New Roman"/>
                <w:bCs/>
                <w:sz w:val="24"/>
                <w:szCs w:val="24"/>
                <w:highlight w:val="none"/>
                <w:u w:val="none"/>
              </w:rPr>
            </w:pPr>
            <w:r>
              <w:rPr>
                <w:rFonts w:hint="default" w:ascii="Times New Roman" w:hAnsi="Times New Roman" w:eastAsia="宋体" w:cs="Times New Roman"/>
                <w:bCs/>
                <w:sz w:val="24"/>
                <w:szCs w:val="24"/>
                <w:highlight w:val="none"/>
                <w:u w:val="none"/>
              </w:rPr>
              <w:t>重点实施佳木斯市郊区中心幼儿园标准化建设项目、佳木斯市第十五小学实验和活动用房建设项目、学校消防设施建设项目、</w:t>
            </w:r>
            <w:r>
              <w:rPr>
                <w:rFonts w:hint="default" w:ascii="Times New Roman" w:hAnsi="Times New Roman" w:eastAsia="宋体" w:cs="Times New Roman"/>
                <w:bCs/>
                <w:color w:val="000000"/>
                <w:sz w:val="24"/>
                <w:szCs w:val="24"/>
                <w:highlight w:val="none"/>
                <w:u w:val="none"/>
              </w:rPr>
              <w:t>闲置校舍改造建设项目、</w:t>
            </w:r>
            <w:r>
              <w:rPr>
                <w:rFonts w:hint="default" w:ascii="Times New Roman" w:hAnsi="Times New Roman" w:eastAsia="宋体" w:cs="Times New Roman"/>
                <w:bCs/>
                <w:sz w:val="24"/>
                <w:szCs w:val="24"/>
                <w:highlight w:val="none"/>
                <w:u w:val="none"/>
              </w:rPr>
              <w:t>争取谋划佳木斯市松北高级中学迁建项目等。</w:t>
            </w:r>
          </w:p>
        </w:tc>
      </w:tr>
      <w:tr w14:paraId="5D63A27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95" w:hRule="atLeast"/>
          <w:jc w:val="center"/>
        </w:trPr>
        <w:tc>
          <w:tcPr>
            <w:tcW w:w="1662" w:type="dxa"/>
            <w:tcBorders>
              <w:right w:val="single" w:color="auto" w:sz="4" w:space="0"/>
            </w:tcBorders>
            <w:vAlign w:val="center"/>
          </w:tcPr>
          <w:p w14:paraId="3A72645C">
            <w:pPr>
              <w:spacing w:line="32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产教融合</w:t>
            </w:r>
          </w:p>
        </w:tc>
        <w:tc>
          <w:tcPr>
            <w:tcW w:w="7192" w:type="dxa"/>
            <w:tcBorders>
              <w:left w:val="single" w:color="auto" w:sz="4" w:space="0"/>
            </w:tcBorders>
            <w:vAlign w:val="center"/>
          </w:tcPr>
          <w:p w14:paraId="5181032C">
            <w:pPr>
              <w:spacing w:line="320" w:lineRule="exact"/>
              <w:jc w:val="left"/>
              <w:rPr>
                <w:rFonts w:hint="default" w:ascii="Times New Roman" w:hAnsi="Times New Roman" w:eastAsia="宋体" w:cs="Times New Roman"/>
                <w:bCs/>
                <w:sz w:val="24"/>
                <w:szCs w:val="24"/>
                <w:highlight w:val="none"/>
                <w:u w:val="none"/>
              </w:rPr>
            </w:pPr>
            <w:r>
              <w:rPr>
                <w:rFonts w:hint="default" w:ascii="Times New Roman" w:hAnsi="Times New Roman" w:eastAsia="宋体" w:cs="Times New Roman"/>
                <w:bCs/>
                <w:sz w:val="24"/>
                <w:szCs w:val="24"/>
                <w:highlight w:val="none"/>
                <w:u w:val="none"/>
              </w:rPr>
              <w:t>到2030年，新增研学基地</w:t>
            </w:r>
            <w:r>
              <w:rPr>
                <w:rFonts w:hint="default" w:ascii="Times New Roman" w:hAnsi="Times New Roman" w:eastAsia="宋体" w:cs="Times New Roman"/>
                <w:bCs/>
                <w:sz w:val="24"/>
                <w:szCs w:val="24"/>
                <w:highlight w:val="none"/>
                <w:u w:val="none"/>
                <w:lang w:val="en-GB"/>
              </w:rPr>
              <w:t>3</w:t>
            </w:r>
            <w:r>
              <w:rPr>
                <w:rFonts w:hint="default" w:ascii="Times New Roman" w:hAnsi="Times New Roman" w:eastAsia="宋体" w:cs="Times New Roman"/>
                <w:bCs/>
                <w:sz w:val="24"/>
                <w:szCs w:val="24"/>
                <w:highlight w:val="none"/>
                <w:u w:val="none"/>
              </w:rPr>
              <w:t>个，新增职业高中植物保护专业实习实训基地1个。</w:t>
            </w:r>
          </w:p>
        </w:tc>
      </w:tr>
    </w:tbl>
    <w:p w14:paraId="525BEC18">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00" w:name="_Toc216985887"/>
      <w:r>
        <w:rPr>
          <w:rFonts w:hint="default" w:ascii="Times New Roman" w:hAnsi="Times New Roman" w:eastAsia="黑体" w:cs="Times New Roman"/>
          <w:b w:val="0"/>
          <w:bCs w:val="0"/>
          <w:highlight w:val="none"/>
          <w:u w:val="none"/>
          <w:lang w:val="zh-CN"/>
        </w:rPr>
        <w:t>三、完善社会保障体系</w:t>
      </w:r>
      <w:bookmarkEnd w:id="100"/>
    </w:p>
    <w:p w14:paraId="2B7D3826">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有效扩大社会保障覆盖面。</w:t>
      </w:r>
      <w:r>
        <w:rPr>
          <w:rFonts w:hint="default" w:ascii="Times New Roman" w:hAnsi="Times New Roman" w:eastAsia="仿宋_GB2312" w:cs="Times New Roman"/>
          <w:color w:val="000000"/>
          <w:sz w:val="32"/>
          <w:szCs w:val="32"/>
          <w:highlight w:val="none"/>
          <w:u w:val="none"/>
        </w:rPr>
        <w:t>做好普惠性、基础性、兜底性等民生保障，统筹推进社会救助、创业就业、抚恤优待、困难帮扶、养老助残等工作，加快建立覆盖城乡、比较完善、持续发展的社会保障体系和公共服务体系。进一步提升社会保险经办便利化水平。持续增强医疗救助托底保障功能，提高重特大疾病和多元医疗需求保障水平。</w:t>
      </w:r>
      <w:bookmarkStart w:id="101" w:name="_Hlk55421955"/>
      <w:r>
        <w:rPr>
          <w:rFonts w:hint="default" w:ascii="Times New Roman" w:hAnsi="Times New Roman" w:eastAsia="仿宋_GB2312" w:cs="Times New Roman"/>
          <w:color w:val="000000"/>
          <w:sz w:val="32"/>
          <w:szCs w:val="32"/>
          <w:highlight w:val="none"/>
          <w:u w:val="none"/>
        </w:rPr>
        <w:t>继续做好城乡低保工作，逐步提高城乡居民最低生活保障标准，做好全区符合参保条件人员的宣传动员工作。</w:t>
      </w:r>
    </w:p>
    <w:p w14:paraId="7DDFE510">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织密民生保障“安全网”。</w:t>
      </w:r>
      <w:r>
        <w:rPr>
          <w:rFonts w:hint="default" w:ascii="Times New Roman" w:hAnsi="Times New Roman" w:eastAsia="仿宋_GB2312" w:cs="Times New Roman"/>
          <w:color w:val="000000"/>
          <w:sz w:val="32"/>
          <w:szCs w:val="32"/>
          <w:highlight w:val="none"/>
          <w:u w:val="none"/>
        </w:rPr>
        <w:t>构建发展型社会救助制度体系，将“前端”预警排查、“中端”动态监测、“后端”综合施救全流程融会贯通，促进社会救助由“被动输血”向“主动造血”转型，把救助制度优势转化为共同富裕效能。积极发展慈善事业，培育公益性社会组织，切实维护妇女、儿童、老年人、残疾人合法权益。</w:t>
      </w:r>
      <w:bookmarkEnd w:id="101"/>
      <w:r>
        <w:rPr>
          <w:rFonts w:hint="default" w:ascii="Times New Roman" w:hAnsi="Times New Roman" w:eastAsia="仿宋_GB2312" w:cs="Times New Roman"/>
          <w:color w:val="000000"/>
          <w:sz w:val="32"/>
          <w:szCs w:val="32"/>
          <w:highlight w:val="none"/>
          <w:u w:val="none"/>
          <w:lang w:val="en-US" w:eastAsia="zh-CN"/>
        </w:rPr>
        <w:t>积极推动落实</w:t>
      </w:r>
      <w:r>
        <w:rPr>
          <w:rFonts w:hint="default" w:ascii="Times New Roman" w:hAnsi="Times New Roman" w:eastAsia="仿宋_GB2312" w:cs="Times New Roman"/>
          <w:color w:val="000000"/>
          <w:sz w:val="32"/>
          <w:szCs w:val="32"/>
          <w:highlight w:val="none"/>
          <w:u w:val="none"/>
        </w:rPr>
        <w:t>反校园霸凌</w:t>
      </w:r>
      <w:r>
        <w:rPr>
          <w:rFonts w:hint="default" w:ascii="Times New Roman" w:hAnsi="Times New Roman" w:eastAsia="仿宋_GB2312" w:cs="Times New Roman"/>
          <w:color w:val="000000"/>
          <w:sz w:val="32"/>
          <w:szCs w:val="32"/>
          <w:highlight w:val="none"/>
          <w:u w:val="none"/>
          <w:lang w:val="en-US" w:eastAsia="zh-CN"/>
        </w:rPr>
        <w:t>工作。</w:t>
      </w:r>
      <w:r>
        <w:rPr>
          <w:rFonts w:hint="default" w:ascii="Times New Roman" w:hAnsi="Times New Roman" w:eastAsia="仿宋_GB2312" w:cs="Times New Roman"/>
          <w:sz w:val="32"/>
          <w:szCs w:val="32"/>
          <w:highlight w:val="none"/>
          <w:u w:val="none"/>
        </w:rPr>
        <w:t>积极扩展社区服务功能，</w:t>
      </w:r>
      <w:r>
        <w:rPr>
          <w:rFonts w:hint="default" w:ascii="Times New Roman" w:hAnsi="Times New Roman" w:eastAsia="仿宋_GB2312" w:cs="Times New Roman"/>
          <w:color w:val="000000"/>
          <w:sz w:val="32"/>
          <w:szCs w:val="32"/>
          <w:highlight w:val="none"/>
          <w:u w:val="none"/>
        </w:rPr>
        <w:t>鼓励专业社会组织等参与社区嵌入式服务设施运营，</w:t>
      </w:r>
      <w:r>
        <w:rPr>
          <w:rFonts w:hint="default" w:ascii="Times New Roman" w:hAnsi="Times New Roman" w:eastAsia="仿宋_GB2312" w:cs="Times New Roman"/>
          <w:sz w:val="32"/>
          <w:szCs w:val="32"/>
          <w:highlight w:val="none"/>
          <w:u w:val="none"/>
        </w:rPr>
        <w:t>完善社区办公用房和基础设施建设。深化殡葬改革，推行节地生态安葬，减轻群众殡葬负担。加快达标社区升级建设为精品社区，为群众生活提供更加方便的服务。</w:t>
      </w:r>
    </w:p>
    <w:tbl>
      <w:tblPr>
        <w:tblStyle w:val="30"/>
        <w:tblW w:w="8639"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024"/>
        <w:gridCol w:w="6615"/>
      </w:tblGrid>
      <w:tr w14:paraId="3603F6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03" w:hRule="atLeast"/>
          <w:jc w:val="center"/>
        </w:trPr>
        <w:tc>
          <w:tcPr>
            <w:tcW w:w="8639" w:type="dxa"/>
            <w:gridSpan w:val="2"/>
            <w:tcBorders>
              <w:top w:val="single" w:color="auto" w:sz="12" w:space="0"/>
            </w:tcBorders>
            <w:vAlign w:val="center"/>
          </w:tcPr>
          <w:p w14:paraId="1163A029">
            <w:pPr>
              <w:keepNext w:val="0"/>
              <w:keepLines w:val="0"/>
              <w:pageBreakBefore w:val="0"/>
              <w:widowControl w:val="0"/>
              <w:kinsoku/>
              <w:wordWrap/>
              <w:overflowPunct w:val="0"/>
              <w:topLinePunct w:val="0"/>
              <w:bidi w:val="0"/>
              <w:adjustRightInd/>
              <w:snapToGrid/>
              <w:spacing w:line="320" w:lineRule="exact"/>
              <w:jc w:val="center"/>
              <w:textAlignment w:val="auto"/>
              <w:rPr>
                <w:rFonts w:hint="default" w:ascii="Times New Roman" w:hAnsi="Times New Roman" w:eastAsia="宋体" w:cs="Times New Roman"/>
                <w:b/>
                <w:bCs/>
                <w:color w:val="000000"/>
                <w:sz w:val="24"/>
                <w:szCs w:val="24"/>
                <w:highlight w:val="none"/>
                <w:u w:val="none"/>
              </w:rPr>
            </w:pPr>
            <w:bookmarkStart w:id="102" w:name="_Hlk56198273"/>
            <w:r>
              <w:rPr>
                <w:rFonts w:hint="default" w:ascii="Times New Roman" w:hAnsi="Times New Roman" w:eastAsia="宋体" w:cs="Times New Roman"/>
                <w:b/>
                <w:bCs/>
                <w:color w:val="000000"/>
                <w:sz w:val="24"/>
                <w:szCs w:val="24"/>
                <w:highlight w:val="none"/>
                <w:u w:val="none"/>
              </w:rPr>
              <w:t>专栏25 社会保障水平提升工程</w:t>
            </w:r>
          </w:p>
        </w:tc>
      </w:tr>
      <w:tr w14:paraId="52D8282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7" w:hRule="atLeast"/>
          <w:jc w:val="center"/>
        </w:trPr>
        <w:tc>
          <w:tcPr>
            <w:tcW w:w="2024" w:type="dxa"/>
            <w:tcBorders>
              <w:right w:val="single" w:color="auto" w:sz="4" w:space="0"/>
            </w:tcBorders>
            <w:vAlign w:val="center"/>
          </w:tcPr>
          <w:p w14:paraId="5111698C">
            <w:pPr>
              <w:keepNext w:val="0"/>
              <w:keepLines w:val="0"/>
              <w:pageBreakBefore w:val="0"/>
              <w:widowControl w:val="0"/>
              <w:kinsoku/>
              <w:wordWrap/>
              <w:overflowPunct w:val="0"/>
              <w:topLinePunct w:val="0"/>
              <w:bidi w:val="0"/>
              <w:adjustRightInd/>
              <w:snapToGrid/>
              <w:spacing w:line="320" w:lineRule="exact"/>
              <w:jc w:val="center"/>
              <w:textAlignment w:val="auto"/>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6615" w:type="dxa"/>
            <w:tcBorders>
              <w:left w:val="single" w:color="auto" w:sz="4" w:space="0"/>
            </w:tcBorders>
            <w:vAlign w:val="center"/>
          </w:tcPr>
          <w:p w14:paraId="240AF14F">
            <w:pPr>
              <w:keepNext w:val="0"/>
              <w:keepLines w:val="0"/>
              <w:pageBreakBefore w:val="0"/>
              <w:widowControl w:val="0"/>
              <w:kinsoku/>
              <w:wordWrap/>
              <w:overflowPunct w:val="0"/>
              <w:topLinePunct w:val="0"/>
              <w:bidi w:val="0"/>
              <w:adjustRightInd/>
              <w:snapToGrid/>
              <w:spacing w:line="320" w:lineRule="exact"/>
              <w:jc w:val="center"/>
              <w:textAlignment w:val="auto"/>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6942F58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2" w:hRule="atLeast"/>
          <w:jc w:val="center"/>
        </w:trPr>
        <w:tc>
          <w:tcPr>
            <w:tcW w:w="2024" w:type="dxa"/>
            <w:tcBorders>
              <w:right w:val="single" w:color="auto" w:sz="4" w:space="0"/>
            </w:tcBorders>
            <w:vAlign w:val="center"/>
          </w:tcPr>
          <w:p w14:paraId="498A6DAA">
            <w:pPr>
              <w:keepNext w:val="0"/>
              <w:keepLines w:val="0"/>
              <w:pageBreakBefore w:val="0"/>
              <w:widowControl w:val="0"/>
              <w:kinsoku/>
              <w:wordWrap/>
              <w:overflowPunct w:val="0"/>
              <w:topLinePunct w:val="0"/>
              <w:bidi w:val="0"/>
              <w:adjustRightInd/>
              <w:snapToGrid/>
              <w:spacing w:line="320" w:lineRule="exact"/>
              <w:jc w:val="center"/>
              <w:textAlignment w:val="auto"/>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社会保障体系</w:t>
            </w:r>
          </w:p>
        </w:tc>
        <w:tc>
          <w:tcPr>
            <w:tcW w:w="6615" w:type="dxa"/>
            <w:tcBorders>
              <w:left w:val="single" w:color="auto" w:sz="4" w:space="0"/>
            </w:tcBorders>
            <w:vAlign w:val="center"/>
          </w:tcPr>
          <w:p w14:paraId="5E9DDD63">
            <w:pPr>
              <w:keepNext w:val="0"/>
              <w:keepLines w:val="0"/>
              <w:pageBreakBefore w:val="0"/>
              <w:widowControl w:val="0"/>
              <w:kinsoku/>
              <w:wordWrap/>
              <w:overflowPunct w:val="0"/>
              <w:topLinePunct w:val="0"/>
              <w:bidi w:val="0"/>
              <w:adjustRightInd/>
              <w:snapToGrid/>
              <w:spacing w:line="320" w:lineRule="exact"/>
              <w:jc w:val="left"/>
              <w:textAlignment w:val="auto"/>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重点实施社会保险参保扩面工程。</w:t>
            </w:r>
          </w:p>
        </w:tc>
      </w:tr>
      <w:tr w14:paraId="5F893EB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80" w:hRule="atLeast"/>
          <w:jc w:val="center"/>
        </w:trPr>
        <w:tc>
          <w:tcPr>
            <w:tcW w:w="2024" w:type="dxa"/>
            <w:tcBorders>
              <w:bottom w:val="single" w:color="auto" w:sz="12" w:space="0"/>
              <w:right w:val="single" w:color="auto" w:sz="4" w:space="0"/>
            </w:tcBorders>
            <w:vAlign w:val="center"/>
          </w:tcPr>
          <w:p w14:paraId="48D14E33">
            <w:pPr>
              <w:keepNext w:val="0"/>
              <w:keepLines w:val="0"/>
              <w:pageBreakBefore w:val="0"/>
              <w:widowControl w:val="0"/>
              <w:kinsoku/>
              <w:wordWrap/>
              <w:overflowPunct w:val="0"/>
              <w:topLinePunct w:val="0"/>
              <w:bidi w:val="0"/>
              <w:adjustRightInd/>
              <w:snapToGrid/>
              <w:spacing w:line="320" w:lineRule="exact"/>
              <w:jc w:val="center"/>
              <w:textAlignment w:val="auto"/>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完善公共服务</w:t>
            </w:r>
          </w:p>
        </w:tc>
        <w:tc>
          <w:tcPr>
            <w:tcW w:w="6615" w:type="dxa"/>
            <w:tcBorders>
              <w:left w:val="single" w:color="auto" w:sz="4" w:space="0"/>
              <w:bottom w:val="single" w:color="auto" w:sz="12" w:space="0"/>
            </w:tcBorders>
            <w:vAlign w:val="center"/>
          </w:tcPr>
          <w:p w14:paraId="20B1C96E">
            <w:pPr>
              <w:keepNext w:val="0"/>
              <w:keepLines w:val="0"/>
              <w:pageBreakBefore w:val="0"/>
              <w:widowControl w:val="0"/>
              <w:kinsoku/>
              <w:wordWrap/>
              <w:overflowPunct w:val="0"/>
              <w:topLinePunct w:val="0"/>
              <w:bidi w:val="0"/>
              <w:adjustRightInd/>
              <w:snapToGrid/>
              <w:spacing w:line="320" w:lineRule="exact"/>
              <w:jc w:val="left"/>
              <w:textAlignment w:val="auto"/>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重点实施社区居民综合服务中心项目。</w:t>
            </w:r>
          </w:p>
        </w:tc>
      </w:tr>
      <w:bookmarkEnd w:id="102"/>
    </w:tbl>
    <w:p w14:paraId="2F374CA5">
      <w:pPr>
        <w:pStyle w:val="3"/>
        <w:keepNext w:val="0"/>
        <w:keepLines w:val="0"/>
        <w:pageBreakBefore w:val="0"/>
        <w:widowControl w:val="0"/>
        <w:kinsoku/>
        <w:wordWrap/>
        <w:overflowPunct w:val="0"/>
        <w:topLinePunct w:val="0"/>
        <w:autoSpaceDE/>
        <w:autoSpaceDN/>
        <w:bidi w:val="0"/>
        <w:adjustRightInd/>
        <w:snapToGrid/>
        <w:spacing w:before="0" w:after="0" w:line="60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03" w:name="_Toc216985888"/>
      <w:r>
        <w:rPr>
          <w:rFonts w:hint="default" w:ascii="Times New Roman" w:hAnsi="Times New Roman" w:eastAsia="黑体" w:cs="Times New Roman"/>
          <w:b w:val="0"/>
          <w:bCs w:val="0"/>
          <w:highlight w:val="none"/>
          <w:u w:val="none"/>
          <w:lang w:val="zh-CN"/>
        </w:rPr>
        <w:t>四、实施全民健康行动</w:t>
      </w:r>
      <w:bookmarkEnd w:id="103"/>
    </w:p>
    <w:p w14:paraId="778413D4">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color w:val="000000"/>
          <w:sz w:val="32"/>
          <w:szCs w:val="32"/>
          <w:highlight w:val="none"/>
          <w:u w:val="none"/>
        </w:rPr>
        <w:t>优化医疗卫生资源配置。</w:t>
      </w:r>
      <w:r>
        <w:rPr>
          <w:rFonts w:hint="default" w:ascii="Times New Roman" w:hAnsi="Times New Roman" w:eastAsia="仿宋_GB2312" w:cs="Times New Roman"/>
          <w:bCs/>
          <w:color w:val="000000"/>
          <w:sz w:val="32"/>
          <w:szCs w:val="32"/>
          <w:highlight w:val="none"/>
          <w:u w:val="none"/>
        </w:rPr>
        <w:t>深化公立医院改革，推进现代医院管理制度。</w:t>
      </w:r>
      <w:r>
        <w:rPr>
          <w:rFonts w:hint="default" w:ascii="Times New Roman" w:hAnsi="Times New Roman" w:eastAsia="仿宋_GB2312" w:cs="Times New Roman"/>
          <w:color w:val="000000"/>
          <w:sz w:val="32"/>
          <w:szCs w:val="32"/>
          <w:highlight w:val="none"/>
          <w:u w:val="none"/>
        </w:rPr>
        <w:t>落实中医药事业发展政策，发挥中医药在传染病防控领域的独特优势和“治未病”作用，推进郊区医院中医康复特色技术发展，提升中医康复水平。鼓励区医院和具备条件的乡镇卫生院探索符合实际的医养结合服务模式，提升照护服务能力。全面推进医疗机构和专业公共卫生机构深度协作，建立人才流动、交叉培训、服务融合、信息共享等机制</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提高优质医疗资源利用效率和辐射带动作用。推进医联体建设，通过技术帮扶、人才培养等方式，增强基层医疗机构常见病、慢性病诊疗及健康管理能力，落实分级诊疗制度，开展规范医疗行为专项行动。加强乡镇卫生院、社区卫生服务中心基础设施和医疗卫生人才队伍建设，提升医疗服务水平。积极争取引入一家二级及以上医疗机构，推动辖区内现有医疗机构进行提档升级，让民众能够享受到更优质的医疗服务。</w:t>
      </w:r>
    </w:p>
    <w:p w14:paraId="1083B0C0">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Cs/>
          <w:color w:val="000000"/>
          <w:sz w:val="32"/>
          <w:szCs w:val="32"/>
          <w:highlight w:val="none"/>
          <w:u w:val="none"/>
        </w:rPr>
      </w:pPr>
      <w:r>
        <w:rPr>
          <w:rFonts w:hint="default" w:ascii="Times New Roman" w:hAnsi="Times New Roman" w:eastAsia="仿宋_GB2312" w:cs="Times New Roman"/>
          <w:b/>
          <w:color w:val="000000"/>
          <w:sz w:val="32"/>
          <w:szCs w:val="32"/>
          <w:highlight w:val="none"/>
          <w:u w:val="none"/>
        </w:rPr>
        <w:t>加强公共卫生体系建设。</w:t>
      </w:r>
      <w:r>
        <w:rPr>
          <w:rFonts w:hint="default" w:ascii="Times New Roman" w:hAnsi="Times New Roman" w:eastAsia="仿宋_GB2312" w:cs="Times New Roman"/>
          <w:bCs/>
          <w:color w:val="000000"/>
          <w:sz w:val="32"/>
          <w:szCs w:val="32"/>
          <w:highlight w:val="none"/>
          <w:u w:val="none"/>
        </w:rPr>
        <w:t>坚持预防为主，健康教育先行。加大传染病防控工作力度，加强疾控中心基础设施和能力建设，增加资金投入，提升实验室检测能力，</w:t>
      </w:r>
      <w:r>
        <w:rPr>
          <w:rFonts w:hint="default" w:ascii="Times New Roman" w:hAnsi="Times New Roman" w:eastAsia="仿宋_GB2312" w:cs="Times New Roman"/>
          <w:bCs/>
          <w:color w:val="000000"/>
          <w:sz w:val="32"/>
          <w:szCs w:val="32"/>
          <w:highlight w:val="none"/>
          <w:u w:val="none"/>
          <w:lang w:val="en-US" w:eastAsia="zh-CN"/>
        </w:rPr>
        <w:t>加强</w:t>
      </w:r>
      <w:r>
        <w:rPr>
          <w:rFonts w:hint="default" w:ascii="Times New Roman" w:hAnsi="Times New Roman" w:eastAsia="仿宋_GB2312" w:cs="Times New Roman"/>
          <w:bCs/>
          <w:color w:val="000000"/>
          <w:sz w:val="32"/>
          <w:szCs w:val="32"/>
          <w:highlight w:val="none"/>
          <w:u w:val="none"/>
        </w:rPr>
        <w:t>应急物资保障。强化对突发公共卫生事件的监测预警能力，健全部门协同和联防联控机制，推动疾控机构与区医院、基层医疗卫生机构的业务协同，强化传染病防控救治能力。持续强化乡镇卫生院、社区卫生服务中心监督协管人员在基本公共卫生服务、监督执法等工作中的作用，加强信息化建设，提升基层公共卫生治理能力。鼓励支持社会力量参与疾控工作，培育志愿者队伍，提高公共卫生应急响应和应对能力。加强卫生监督稽查能力建设，提高职业病监测监督能力。</w:t>
      </w:r>
    </w:p>
    <w:p w14:paraId="25846FC4">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完善全民健康体系。</w:t>
      </w:r>
      <w:r>
        <w:rPr>
          <w:rFonts w:hint="default" w:ascii="Times New Roman" w:hAnsi="Times New Roman" w:eastAsia="仿宋_GB2312" w:cs="Times New Roman"/>
          <w:color w:val="000000"/>
          <w:sz w:val="32"/>
          <w:szCs w:val="32"/>
          <w:highlight w:val="none"/>
          <w:u w:val="none"/>
          <w:shd w:val="clear" w:color="auto" w:fill="FFFFFF"/>
        </w:rPr>
        <w:t>积极发展个性化健康检测评估、健康咨询服务、营养保健指导等健康管理服务。</w:t>
      </w:r>
      <w:r>
        <w:rPr>
          <w:rFonts w:hint="default" w:ascii="Times New Roman" w:hAnsi="Times New Roman" w:eastAsia="仿宋_GB2312" w:cs="Times New Roman"/>
          <w:color w:val="000000"/>
          <w:sz w:val="32"/>
          <w:szCs w:val="32"/>
          <w:highlight w:val="none"/>
          <w:u w:val="none"/>
        </w:rPr>
        <w:t>深化分级诊疗制度，实现资源精准下沉。全面建立以基层为重点的慢性病防控体系，落实慢性病综合防控策略，通过加强健康教育、早期发现和规范治疗等措施，降低慢性病的疾病负担和重大慢性病过早死亡率，提高居民的健康水平。到2030年，每千人（常住人口）执业医师数3.4名，每千人口拥有</w:t>
      </w:r>
      <w:r>
        <w:rPr>
          <w:rFonts w:hint="default" w:ascii="Times New Roman" w:hAnsi="Times New Roman" w:eastAsia="仿宋_GB2312" w:cs="Times New Roman"/>
          <w:color w:val="000000"/>
          <w:sz w:val="32"/>
          <w:szCs w:val="32"/>
          <w:highlight w:val="none"/>
          <w:u w:val="none"/>
          <w:lang w:val="en-US" w:eastAsia="zh-CN"/>
        </w:rPr>
        <w:t>注册护士</w:t>
      </w:r>
      <w:r>
        <w:rPr>
          <w:rFonts w:hint="default" w:ascii="Times New Roman" w:hAnsi="Times New Roman" w:eastAsia="仿宋_GB2312" w:cs="Times New Roman"/>
          <w:color w:val="000000"/>
          <w:sz w:val="32"/>
          <w:szCs w:val="32"/>
          <w:highlight w:val="none"/>
          <w:u w:val="none"/>
        </w:rPr>
        <w:t>人员数</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lang w:val="en-US" w:eastAsia="zh-CN"/>
        </w:rPr>
        <w:t>人）4.0名</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稳步提高妇幼保健公共服务水平，重视精神卫生和心理健康。深入开展爱国卫生运动，坚持预防为主，提升自我防病意识和防护能力，促进养成健康生活习惯，持续巩固健康区工作成果。组织开展各类体育活动及全民健身活动，增强全民身体素质。到2030年，人均达到寿命80岁以上。</w:t>
      </w:r>
    </w:p>
    <w:tbl>
      <w:tblPr>
        <w:tblStyle w:val="30"/>
        <w:tblW w:w="870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34"/>
        <w:gridCol w:w="7070"/>
      </w:tblGrid>
      <w:tr w14:paraId="4565663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4" w:hRule="atLeast"/>
          <w:jc w:val="center"/>
        </w:trPr>
        <w:tc>
          <w:tcPr>
            <w:tcW w:w="8704" w:type="dxa"/>
            <w:gridSpan w:val="2"/>
            <w:tcBorders>
              <w:top w:val="single" w:color="auto" w:sz="12" w:space="0"/>
            </w:tcBorders>
            <w:vAlign w:val="center"/>
          </w:tcPr>
          <w:p w14:paraId="64C06EBE">
            <w:pPr>
              <w:spacing w:line="320" w:lineRule="exact"/>
              <w:jc w:val="center"/>
              <w:rPr>
                <w:rFonts w:hint="default" w:ascii="Times New Roman" w:hAnsi="Times New Roman" w:eastAsia="宋体" w:cs="Times New Roman"/>
                <w:b/>
                <w:bCs/>
                <w:color w:val="000000"/>
                <w:sz w:val="24"/>
                <w:szCs w:val="24"/>
                <w:highlight w:val="none"/>
                <w:u w:val="none"/>
              </w:rPr>
            </w:pPr>
            <w:bookmarkStart w:id="104" w:name="_Hlk56199844"/>
            <w:r>
              <w:rPr>
                <w:rFonts w:hint="default" w:ascii="Times New Roman" w:hAnsi="Times New Roman" w:eastAsia="宋体" w:cs="Times New Roman"/>
                <w:b/>
                <w:bCs/>
                <w:color w:val="000000"/>
                <w:sz w:val="24"/>
                <w:szCs w:val="24"/>
                <w:highlight w:val="none"/>
                <w:u w:val="none"/>
              </w:rPr>
              <w:t>专栏26 健康郊区行动重大工程项目</w:t>
            </w:r>
          </w:p>
        </w:tc>
      </w:tr>
      <w:tr w14:paraId="49161F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634" w:type="dxa"/>
            <w:tcBorders>
              <w:right w:val="single" w:color="auto" w:sz="4" w:space="0"/>
            </w:tcBorders>
            <w:vAlign w:val="center"/>
          </w:tcPr>
          <w:p w14:paraId="5E0FE542">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070" w:type="dxa"/>
            <w:tcBorders>
              <w:left w:val="single" w:color="auto" w:sz="4" w:space="0"/>
            </w:tcBorders>
            <w:vAlign w:val="center"/>
          </w:tcPr>
          <w:p w14:paraId="22DB1089">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2C81F28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45" w:hRule="atLeast"/>
          <w:jc w:val="center"/>
        </w:trPr>
        <w:tc>
          <w:tcPr>
            <w:tcW w:w="1634" w:type="dxa"/>
            <w:tcBorders>
              <w:right w:val="single" w:color="auto" w:sz="4" w:space="0"/>
            </w:tcBorders>
            <w:vAlign w:val="center"/>
          </w:tcPr>
          <w:p w14:paraId="70BF7EC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公共卫生基础设施建设</w:t>
            </w:r>
          </w:p>
        </w:tc>
        <w:tc>
          <w:tcPr>
            <w:tcW w:w="7070" w:type="dxa"/>
            <w:tcBorders>
              <w:left w:val="single" w:color="auto" w:sz="4" w:space="0"/>
            </w:tcBorders>
            <w:vAlign w:val="center"/>
          </w:tcPr>
          <w:p w14:paraId="7D6F28EC">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sz w:val="24"/>
                <w:szCs w:val="24"/>
                <w:highlight w:val="none"/>
                <w:u w:val="none"/>
              </w:rPr>
              <w:t>实施郊区人民医院门诊病房条件提升项目、佳木斯市郊区医养结合服务设施建设项目（包含郊区人民医院和敖其镇卫生院）、</w:t>
            </w:r>
            <w:r>
              <w:rPr>
                <w:rFonts w:hint="default" w:ascii="Times New Roman" w:hAnsi="Times New Roman" w:eastAsia="宋体" w:cs="Times New Roman"/>
                <w:bCs/>
                <w:color w:val="000000"/>
                <w:sz w:val="24"/>
                <w:szCs w:val="24"/>
                <w:highlight w:val="none"/>
                <w:u w:val="none"/>
              </w:rPr>
              <w:t>郊区动物疫病预防控制中心实验室改扩建项目等</w:t>
            </w:r>
            <w:r>
              <w:rPr>
                <w:rFonts w:hint="default" w:ascii="Times New Roman" w:hAnsi="Times New Roman" w:eastAsia="宋体" w:cs="Times New Roman"/>
                <w:bCs/>
                <w:sz w:val="24"/>
                <w:szCs w:val="24"/>
                <w:highlight w:val="none"/>
                <w:u w:val="none"/>
              </w:rPr>
              <w:t>。</w:t>
            </w:r>
          </w:p>
        </w:tc>
      </w:tr>
      <w:tr w14:paraId="0D85453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50" w:hRule="atLeast"/>
          <w:jc w:val="center"/>
        </w:trPr>
        <w:tc>
          <w:tcPr>
            <w:tcW w:w="1634" w:type="dxa"/>
            <w:tcBorders>
              <w:right w:val="single" w:color="auto" w:sz="4" w:space="0"/>
            </w:tcBorders>
            <w:vAlign w:val="center"/>
          </w:tcPr>
          <w:p w14:paraId="1041E436">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体育事业</w:t>
            </w:r>
          </w:p>
        </w:tc>
        <w:tc>
          <w:tcPr>
            <w:tcW w:w="7070" w:type="dxa"/>
            <w:tcBorders>
              <w:left w:val="single" w:color="auto" w:sz="4" w:space="0"/>
            </w:tcBorders>
            <w:vAlign w:val="center"/>
          </w:tcPr>
          <w:p w14:paraId="5E7CAC40">
            <w:pPr>
              <w:spacing w:line="320" w:lineRule="exact"/>
              <w:jc w:val="left"/>
              <w:rPr>
                <w:rFonts w:hint="default" w:ascii="Times New Roman" w:hAnsi="Times New Roman" w:eastAsia="宋体" w:cs="Times New Roman"/>
                <w:bCs/>
                <w:color w:val="000000"/>
                <w:sz w:val="24"/>
                <w:szCs w:val="24"/>
                <w:highlight w:val="none"/>
                <w:u w:val="none"/>
              </w:rPr>
            </w:pPr>
            <w:r>
              <w:rPr>
                <w:rFonts w:hint="default" w:ascii="Times New Roman" w:hAnsi="Times New Roman" w:eastAsia="宋体" w:cs="Times New Roman"/>
                <w:bCs/>
                <w:color w:val="000000"/>
                <w:sz w:val="24"/>
                <w:szCs w:val="24"/>
                <w:highlight w:val="none"/>
                <w:u w:val="none"/>
              </w:rPr>
              <w:t>实施全民健身中心项目、乡镇体育活动场所项目。</w:t>
            </w:r>
          </w:p>
        </w:tc>
      </w:tr>
      <w:bookmarkEnd w:id="104"/>
    </w:tbl>
    <w:p w14:paraId="4CBE3DD4">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05" w:name="_Toc216985889"/>
      <w:r>
        <w:rPr>
          <w:rFonts w:hint="default" w:ascii="Times New Roman" w:hAnsi="Times New Roman" w:eastAsia="黑体" w:cs="Times New Roman"/>
          <w:b w:val="0"/>
          <w:bCs w:val="0"/>
          <w:highlight w:val="none"/>
          <w:u w:val="none"/>
          <w:lang w:val="zh-CN"/>
        </w:rPr>
        <w:t>五、扎实推进全体人民共同富裕</w:t>
      </w:r>
      <w:bookmarkEnd w:id="105"/>
    </w:p>
    <w:p w14:paraId="3956D3D8">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稳步提高城乡居民收入。</w:t>
      </w:r>
      <w:r>
        <w:rPr>
          <w:rFonts w:hint="default" w:ascii="Times New Roman" w:hAnsi="Times New Roman" w:eastAsia="仿宋_GB2312" w:cs="Times New Roman"/>
          <w:color w:val="000000"/>
          <w:sz w:val="32"/>
          <w:szCs w:val="32"/>
          <w:highlight w:val="none"/>
          <w:u w:val="none"/>
        </w:rPr>
        <w:t>拓宽多层次增收渠道。全面落实企业工资指导线制度，推动最低工资标准动态调整，增加企业离退休人员、公益岗、低收入者和困难家庭的收入。完善工资支付保障制度，预防和打击欠薪行为。推进收入分配制度改革，落实公务员工资正常增长机制和定期调整制度，深化事业单位绩效工资制度改革。到2030年，城镇居民人均可支配收入年均增加6%。</w:t>
      </w:r>
    </w:p>
    <w:p w14:paraId="5309D98A">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实施农民收入倍增计划。</w:t>
      </w:r>
      <w:r>
        <w:rPr>
          <w:rFonts w:hint="default" w:ascii="Times New Roman" w:hAnsi="Times New Roman" w:eastAsia="仿宋_GB2312" w:cs="Times New Roman"/>
          <w:color w:val="000000"/>
          <w:sz w:val="32"/>
          <w:szCs w:val="32"/>
          <w:highlight w:val="none"/>
          <w:u w:val="none"/>
        </w:rPr>
        <w:t>落实国家和省强农惠农富农政策，推动农业、就业、创业、物业“四业”富民，因地制宜发展花园、菜园、果园、田园、家园“五园”经济，提高农民经营性收入、工资性收入、财产性收入。在农业农村基础设施建设领域积极推广以工代赈方式，带动更多农村群众就业增收。壮大村级集体经济，保障农村集体经济组织成员权益，确保农民分享流转收益，拓宽农村外部增收渠道和财产性收入渠道。</w:t>
      </w:r>
      <w:bookmarkStart w:id="106" w:name="_Hlk204546179"/>
      <w:r>
        <w:rPr>
          <w:rFonts w:hint="default" w:ascii="Times New Roman" w:hAnsi="Times New Roman" w:eastAsia="仿宋_GB2312" w:cs="Times New Roman"/>
          <w:color w:val="000000"/>
          <w:sz w:val="32"/>
          <w:szCs w:val="32"/>
          <w:highlight w:val="none"/>
          <w:u w:val="none"/>
        </w:rPr>
        <w:t>到2030年，</w:t>
      </w:r>
      <w:bookmarkEnd w:id="106"/>
      <w:r>
        <w:rPr>
          <w:rFonts w:hint="default" w:ascii="Times New Roman" w:hAnsi="Times New Roman" w:eastAsia="仿宋_GB2312" w:cs="Times New Roman"/>
          <w:color w:val="000000"/>
          <w:sz w:val="32"/>
          <w:szCs w:val="32"/>
          <w:highlight w:val="none"/>
          <w:u w:val="none"/>
        </w:rPr>
        <w:t>农村居民人均纯收入年均增长7%。</w:t>
      </w:r>
    </w:p>
    <w:p w14:paraId="3BEB5554">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07" w:name="_Toc216985890"/>
      <w:r>
        <w:rPr>
          <w:rFonts w:hint="default" w:ascii="Times New Roman" w:hAnsi="Times New Roman" w:eastAsia="黑体" w:cs="Times New Roman"/>
          <w:b w:val="0"/>
          <w:bCs w:val="0"/>
          <w:highlight w:val="none"/>
          <w:u w:val="none"/>
          <w:lang w:val="zh-CN"/>
        </w:rPr>
        <w:t>六、促进人口高质量发展</w:t>
      </w:r>
      <w:bookmarkEnd w:id="107"/>
    </w:p>
    <w:p w14:paraId="4E355B52">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shd w:val="clear" w:color="auto" w:fill="FFFFFF"/>
          <w:lang w:val="en-US"/>
        </w:rPr>
      </w:pPr>
      <w:bookmarkStart w:id="108" w:name="_Hlk48161144"/>
      <w:r>
        <w:rPr>
          <w:rFonts w:hint="default" w:ascii="Times New Roman" w:hAnsi="Times New Roman" w:eastAsia="仿宋_GB2312" w:cs="Times New Roman"/>
          <w:b/>
          <w:sz w:val="32"/>
          <w:szCs w:val="32"/>
          <w:highlight w:val="none"/>
          <w:u w:val="none"/>
        </w:rPr>
        <w:t>实施健康养老服务产业升级工程。</w:t>
      </w:r>
      <w:r>
        <w:rPr>
          <w:rFonts w:hint="default" w:ascii="Times New Roman" w:hAnsi="Times New Roman" w:eastAsia="仿宋_GB2312" w:cs="Times New Roman"/>
          <w:sz w:val="32"/>
          <w:szCs w:val="32"/>
          <w:highlight w:val="none"/>
          <w:u w:val="none"/>
        </w:rPr>
        <w:t>积极应对人口老龄化，</w:t>
      </w:r>
      <w:r>
        <w:rPr>
          <w:rFonts w:hint="default" w:ascii="Times New Roman" w:hAnsi="Times New Roman" w:eastAsia="仿宋_GB2312" w:cs="Times New Roman"/>
          <w:color w:val="000000"/>
          <w:sz w:val="32"/>
          <w:szCs w:val="32"/>
          <w:highlight w:val="none"/>
          <w:u w:val="none"/>
        </w:rPr>
        <w:t>对全区养老服务机构网络进行总体布局，推动公办养老机构、民办老年公寓以及居家养老、日间照料服务中心等统筹并进、协同发展。</w:t>
      </w:r>
      <w:r>
        <w:rPr>
          <w:rFonts w:hint="default" w:ascii="Times New Roman" w:hAnsi="Times New Roman" w:eastAsia="仿宋_GB2312" w:cs="Times New Roman"/>
          <w:sz w:val="32"/>
          <w:szCs w:val="32"/>
          <w:highlight w:val="none"/>
          <w:u w:val="none"/>
        </w:rPr>
        <w:t>努力增加方便可及、价格合理的普惠型养老服务和产品，逐步满足社会多层次、多样化的养老服务需求，逐步形成以居家为基础、社区为依托、机构为补充、医养相融合的多层次、社会化养老服务体系。</w:t>
      </w:r>
      <w:r>
        <w:rPr>
          <w:rFonts w:hint="default" w:ascii="Times New Roman" w:hAnsi="Times New Roman" w:eastAsia="仿宋_GB2312" w:cs="Times New Roman"/>
          <w:color w:val="000000"/>
          <w:sz w:val="32"/>
          <w:szCs w:val="32"/>
          <w:highlight w:val="none"/>
          <w:u w:val="none"/>
        </w:rPr>
        <w:t>积极推进社区居家养老服务站建设，进一步健全完善居家养老呼叫服务系统，</w:t>
      </w:r>
      <w:r>
        <w:rPr>
          <w:rFonts w:hint="default" w:ascii="Times New Roman" w:hAnsi="Times New Roman" w:eastAsia="仿宋_GB2312" w:cs="Times New Roman"/>
          <w:color w:val="000000"/>
          <w:sz w:val="32"/>
          <w:szCs w:val="32"/>
          <w:highlight w:val="none"/>
          <w:u w:val="none"/>
          <w:shd w:val="clear" w:color="auto" w:fill="FFFFFF"/>
        </w:rPr>
        <w:t>构建社区养老服务信息网络平台。推动居家养老开展“点对点”跟踪式管理和“一键式”菜单预约、“一站式”上门服务。</w:t>
      </w:r>
      <w:r>
        <w:rPr>
          <w:rFonts w:hint="default" w:ascii="Times New Roman" w:hAnsi="Times New Roman" w:eastAsia="仿宋_GB2312" w:cs="Times New Roman"/>
          <w:color w:val="000000"/>
          <w:sz w:val="32"/>
          <w:szCs w:val="32"/>
          <w:highlight w:val="none"/>
          <w:u w:val="none"/>
          <w:shd w:val="clear" w:color="auto" w:fill="FFFFFF"/>
          <w:lang w:val="en-US" w:eastAsia="zh-CN"/>
        </w:rPr>
        <w:t>探索利用</w:t>
      </w:r>
      <w:r>
        <w:rPr>
          <w:rFonts w:hint="default" w:ascii="Times New Roman" w:hAnsi="Times New Roman" w:eastAsia="仿宋_GB2312" w:cs="Times New Roman"/>
          <w:color w:val="000000"/>
          <w:kern w:val="2"/>
          <w:sz w:val="32"/>
          <w:szCs w:val="32"/>
          <w:highlight w:val="none"/>
          <w:u w:val="none"/>
          <w:shd w:val="clear" w:color="auto" w:fill="FFFFFF"/>
          <w:lang w:val="en-US" w:eastAsia="zh-CN" w:bidi="ar-SA"/>
        </w:rPr>
        <w:t>闲置的学校或厂房进行改造，增设文体活动室等，不断丰富老年人生活。积极开展居家养老服务试点，推进实施便民敬老食堂示范项目。</w:t>
      </w:r>
      <w:r>
        <w:rPr>
          <w:rFonts w:hint="default" w:ascii="Times New Roman" w:hAnsi="Times New Roman" w:eastAsia="仿宋_GB2312" w:cs="Times New Roman"/>
          <w:color w:val="000000"/>
          <w:sz w:val="32"/>
          <w:szCs w:val="32"/>
          <w:highlight w:val="none"/>
          <w:u w:val="none"/>
          <w:shd w:val="clear" w:color="auto" w:fill="FFFFFF"/>
        </w:rPr>
        <w:t>加快推进小区、街区、广场等进行适老化改造</w:t>
      </w:r>
      <w:r>
        <w:rPr>
          <w:rFonts w:hint="default" w:ascii="Times New Roman" w:hAnsi="Times New Roman" w:eastAsia="仿宋_GB2312" w:cs="Times New Roman"/>
          <w:color w:val="000000"/>
          <w:sz w:val="32"/>
          <w:szCs w:val="32"/>
          <w:highlight w:val="none"/>
          <w:u w:val="none"/>
          <w:shd w:val="clear" w:color="auto" w:fill="FFFFFF"/>
          <w:lang w:eastAsia="zh-CN"/>
        </w:rPr>
        <w:t>，</w:t>
      </w:r>
      <w:r>
        <w:rPr>
          <w:rFonts w:hint="default" w:ascii="Times New Roman" w:hAnsi="Times New Roman" w:eastAsia="仿宋_GB2312" w:cs="Times New Roman"/>
          <w:color w:val="000000"/>
          <w:kern w:val="2"/>
          <w:sz w:val="32"/>
          <w:szCs w:val="32"/>
          <w:highlight w:val="none"/>
          <w:u w:val="none"/>
          <w:shd w:val="clear" w:color="auto" w:fill="FFFFFF"/>
          <w:lang w:val="en-US" w:eastAsia="zh-CN" w:bidi="ar-SA"/>
        </w:rPr>
        <w:t>增设无障碍坡道、休息座椅、智能感应路灯等设施，全面消除老人出行安全隐患。</w:t>
      </w:r>
    </w:p>
    <w:p w14:paraId="6FFD3087">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推动银发经济高质量发展。</w:t>
      </w:r>
      <w:r>
        <w:rPr>
          <w:rFonts w:hint="default" w:ascii="Times New Roman" w:hAnsi="Times New Roman" w:eastAsia="仿宋_GB2312" w:cs="Times New Roman"/>
          <w:sz w:val="32"/>
          <w:szCs w:val="32"/>
          <w:highlight w:val="none"/>
          <w:u w:val="none"/>
        </w:rPr>
        <w:t>推动</w:t>
      </w:r>
      <w:r>
        <w:rPr>
          <w:rFonts w:hint="default" w:ascii="Times New Roman" w:hAnsi="Times New Roman" w:eastAsia="仿宋_GB2312" w:cs="Times New Roman"/>
          <w:color w:val="000000"/>
          <w:sz w:val="32"/>
          <w:szCs w:val="32"/>
          <w:highlight w:val="none"/>
          <w:u w:val="none"/>
        </w:rPr>
        <w:t>养老服务事业与养老产业协调发展。</w:t>
      </w:r>
      <w:r>
        <w:rPr>
          <w:rFonts w:hint="default" w:ascii="Times New Roman" w:hAnsi="Times New Roman" w:eastAsia="仿宋_GB2312" w:cs="Times New Roman"/>
          <w:color w:val="333333"/>
          <w:sz w:val="32"/>
          <w:szCs w:val="32"/>
          <w:highlight w:val="none"/>
          <w:u w:val="none"/>
        </w:rPr>
        <w:t>鼓励社会资本利用闲置的房屋资产兴办养老服务机构。支持发展旅居养老、异地养老、候鸟式养老等养老新业态。</w:t>
      </w:r>
      <w:r>
        <w:rPr>
          <w:rFonts w:hint="default" w:ascii="Times New Roman" w:hAnsi="Times New Roman" w:eastAsia="仿宋_GB2312" w:cs="Times New Roman"/>
          <w:sz w:val="32"/>
          <w:szCs w:val="32"/>
          <w:highlight w:val="none"/>
          <w:u w:val="none"/>
        </w:rPr>
        <w:t>引进和培育一批带动力强的养老服务业企业，努力做大产业规模，推动养老服务标准化、品牌化。完善养老机构行政审批流程，放宽市场准入，强化市场监管，提升服务标准。加强民办养老机构事中和事后监管，推动合法合规经营。推进养老机构医养结合，引导养老机构设置护理型床位。</w:t>
      </w:r>
    </w:p>
    <w:p w14:paraId="5F3B9FC8">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color w:val="000000"/>
          <w:sz w:val="32"/>
          <w:szCs w:val="32"/>
          <w:highlight w:val="none"/>
          <w:u w:val="none"/>
        </w:rPr>
        <w:t>构建托育公共服务体系。</w:t>
      </w:r>
      <w:r>
        <w:rPr>
          <w:rFonts w:hint="default" w:ascii="Times New Roman" w:hAnsi="Times New Roman" w:eastAsia="仿宋_GB2312" w:cs="Times New Roman"/>
          <w:color w:val="000000"/>
          <w:sz w:val="32"/>
          <w:szCs w:val="32"/>
          <w:highlight w:val="none"/>
          <w:u w:val="none"/>
        </w:rPr>
        <w:t>按照“幼有所育”要求，</w:t>
      </w:r>
      <w:r>
        <w:rPr>
          <w:rFonts w:hint="default" w:ascii="Times New Roman" w:hAnsi="Times New Roman" w:eastAsia="仿宋_GB2312" w:cs="Times New Roman"/>
          <w:bCs/>
          <w:color w:val="000000"/>
          <w:sz w:val="32"/>
          <w:szCs w:val="32"/>
          <w:highlight w:val="none"/>
          <w:u w:val="none"/>
        </w:rPr>
        <w:t>稳步推进妇幼健康与计划生育工作，落实政府托育支持政策</w:t>
      </w:r>
      <w:r>
        <w:rPr>
          <w:rFonts w:hint="default" w:ascii="Times New Roman" w:hAnsi="Times New Roman" w:eastAsia="仿宋_GB2312" w:cs="Times New Roman"/>
          <w:color w:val="000000"/>
          <w:sz w:val="32"/>
          <w:szCs w:val="32"/>
          <w:highlight w:val="none"/>
          <w:u w:val="none"/>
        </w:rPr>
        <w:t>，加快推进托育公共服务体系建设。增加</w:t>
      </w:r>
      <w:r>
        <w:rPr>
          <w:rFonts w:hint="eastAsia" w:ascii="Times New Roman" w:hAnsi="Times New Roman" w:eastAsia="仿宋_GB2312" w:cs="Times New Roman"/>
          <w:color w:val="000000"/>
          <w:sz w:val="32"/>
          <w:szCs w:val="32"/>
          <w:highlight w:val="none"/>
          <w:u w:val="none"/>
          <w:lang w:eastAsia="zh-CN"/>
        </w:rPr>
        <w:t>普惠托育服务</w:t>
      </w:r>
      <w:r>
        <w:rPr>
          <w:rFonts w:hint="default" w:ascii="Times New Roman" w:hAnsi="Times New Roman" w:eastAsia="仿宋_GB2312" w:cs="Times New Roman"/>
          <w:color w:val="000000"/>
          <w:sz w:val="32"/>
          <w:szCs w:val="32"/>
          <w:highlight w:val="none"/>
          <w:u w:val="none"/>
        </w:rPr>
        <w:t>有效供给，</w:t>
      </w:r>
      <w:r>
        <w:rPr>
          <w:rFonts w:hint="default" w:ascii="Times New Roman" w:hAnsi="Times New Roman" w:eastAsia="仿宋_GB2312" w:cs="Times New Roman"/>
          <w:bCs/>
          <w:color w:val="000000"/>
          <w:sz w:val="32"/>
          <w:szCs w:val="32"/>
          <w:highlight w:val="none"/>
          <w:u w:val="none"/>
        </w:rPr>
        <w:t>支持有条件的幼儿园招收2至3岁幼儿，鼓励有空余学位的幼儿园开展托育服务。</w:t>
      </w:r>
      <w:r>
        <w:rPr>
          <w:rFonts w:hint="default" w:ascii="Times New Roman" w:hAnsi="Times New Roman" w:eastAsia="仿宋_GB2312" w:cs="Times New Roman"/>
          <w:color w:val="000000"/>
          <w:sz w:val="32"/>
          <w:szCs w:val="32"/>
          <w:highlight w:val="none"/>
          <w:u w:val="none"/>
        </w:rPr>
        <w:t>在坚持市场化为主的基础上，形成政府与托育企业、金融机构、企事业单位等社会力量联动</w:t>
      </w:r>
      <w:r>
        <w:rPr>
          <w:rFonts w:hint="eastAsia" w:ascii="Times New Roman" w:hAnsi="Times New Roman" w:eastAsia="仿宋_GB2312" w:cs="Times New Roman"/>
          <w:color w:val="000000"/>
          <w:sz w:val="32"/>
          <w:szCs w:val="32"/>
          <w:highlight w:val="none"/>
          <w:u w:val="none"/>
          <w:lang w:val="en-US" w:eastAsia="zh-CN"/>
        </w:rPr>
        <w:t>格局</w:t>
      </w:r>
      <w:r>
        <w:rPr>
          <w:rFonts w:hint="default" w:ascii="Times New Roman" w:hAnsi="Times New Roman" w:eastAsia="仿宋_GB2312" w:cs="Times New Roman"/>
          <w:color w:val="000000"/>
          <w:sz w:val="32"/>
          <w:szCs w:val="32"/>
          <w:highlight w:val="none"/>
          <w:u w:val="none"/>
        </w:rPr>
        <w:t>，利用好国家补助政策，重点建设一批具有带动效应的示范性普惠托育床位。建立健全覆盖全人群、全生命周期的人口服务体系。</w:t>
      </w:r>
    </w:p>
    <w:p w14:paraId="0D6D9580">
      <w:pPr>
        <w:keepNext w:val="0"/>
        <w:keepLines w:val="0"/>
        <w:pageBreakBefore w:val="0"/>
        <w:widowControl w:val="0"/>
        <w:kinsoku/>
        <w:wordWrap/>
        <w:overflowPunct w:val="0"/>
        <w:topLinePunct w:val="0"/>
        <w:bidi w:val="0"/>
        <w:snapToGrid/>
        <w:spacing w:line="580" w:lineRule="exact"/>
        <w:ind w:firstLine="630" w:firstLineChars="196"/>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构建生育友好型城区，</w:t>
      </w:r>
      <w:r>
        <w:rPr>
          <w:rFonts w:hint="default" w:ascii="Times New Roman" w:hAnsi="Times New Roman" w:eastAsia="仿宋_GB2312" w:cs="Times New Roman"/>
          <w:color w:val="000000"/>
          <w:sz w:val="32"/>
          <w:szCs w:val="32"/>
          <w:highlight w:val="none"/>
          <w:u w:val="none"/>
        </w:rPr>
        <w:t>落实国家生育支持措施，加强婚育文化引领，落实生育家庭奖励扶助制度，减轻家庭生育、养育、教育负担。推进城市公共服务适儿化改造，从居住区托育</w:t>
      </w:r>
      <w:r>
        <w:rPr>
          <w:rFonts w:hint="eastAsia" w:ascii="Times New Roman" w:hAnsi="Times New Roman" w:eastAsia="仿宋_GB2312" w:cs="Times New Roman"/>
          <w:color w:val="000000"/>
          <w:sz w:val="32"/>
          <w:szCs w:val="32"/>
          <w:highlight w:val="none"/>
          <w:u w:val="none"/>
          <w:lang w:eastAsia="zh-CN"/>
        </w:rPr>
        <w:t>设施</w:t>
      </w:r>
      <w:r>
        <w:rPr>
          <w:rFonts w:hint="default" w:ascii="Times New Roman" w:hAnsi="Times New Roman" w:eastAsia="仿宋_GB2312" w:cs="Times New Roman"/>
          <w:color w:val="000000"/>
          <w:sz w:val="32"/>
          <w:szCs w:val="32"/>
          <w:highlight w:val="none"/>
          <w:u w:val="none"/>
        </w:rPr>
        <w:t>到公共交通、商业场所无障碍设施，全面打造生育友好型城区。</w:t>
      </w:r>
    </w:p>
    <w:tbl>
      <w:tblPr>
        <w:tblStyle w:val="30"/>
        <w:tblW w:w="872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37"/>
        <w:gridCol w:w="7083"/>
      </w:tblGrid>
      <w:tr w14:paraId="4CFEB0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9" w:hRule="atLeast"/>
          <w:jc w:val="center"/>
        </w:trPr>
        <w:tc>
          <w:tcPr>
            <w:tcW w:w="8720" w:type="dxa"/>
            <w:gridSpan w:val="2"/>
            <w:tcBorders>
              <w:top w:val="single" w:color="auto" w:sz="12" w:space="0"/>
            </w:tcBorders>
          </w:tcPr>
          <w:p w14:paraId="400CFACF">
            <w:pPr>
              <w:spacing w:line="320" w:lineRule="exact"/>
              <w:jc w:val="center"/>
              <w:rPr>
                <w:rFonts w:hint="default" w:ascii="Times New Roman" w:hAnsi="Times New Roman" w:eastAsia="宋体" w:cs="Times New Roman"/>
                <w:b/>
                <w:bCs/>
                <w:color w:val="000000"/>
                <w:sz w:val="24"/>
                <w:szCs w:val="24"/>
                <w:highlight w:val="none"/>
                <w:u w:val="none"/>
              </w:rPr>
            </w:pPr>
            <w:bookmarkStart w:id="109" w:name="_Hlk56198424"/>
            <w:r>
              <w:rPr>
                <w:rFonts w:hint="default" w:ascii="Times New Roman" w:hAnsi="Times New Roman" w:eastAsia="宋体" w:cs="Times New Roman"/>
                <w:b/>
                <w:bCs/>
                <w:color w:val="000000"/>
                <w:sz w:val="24"/>
                <w:szCs w:val="24"/>
                <w:highlight w:val="none"/>
                <w:u w:val="none"/>
              </w:rPr>
              <w:t xml:space="preserve"> 专栏27 促进人的全面发展重大工程项目</w:t>
            </w:r>
          </w:p>
        </w:tc>
      </w:tr>
      <w:tr w14:paraId="20EA9F9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75" w:hRule="atLeast"/>
          <w:jc w:val="center"/>
        </w:trPr>
        <w:tc>
          <w:tcPr>
            <w:tcW w:w="1637" w:type="dxa"/>
            <w:tcBorders>
              <w:right w:val="single" w:color="auto" w:sz="4" w:space="0"/>
            </w:tcBorders>
            <w:vAlign w:val="center"/>
          </w:tcPr>
          <w:p w14:paraId="61C95F1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领域</w:t>
            </w:r>
          </w:p>
        </w:tc>
        <w:tc>
          <w:tcPr>
            <w:tcW w:w="7083" w:type="dxa"/>
            <w:tcBorders>
              <w:left w:val="single" w:color="auto" w:sz="4" w:space="0"/>
            </w:tcBorders>
            <w:vAlign w:val="center"/>
          </w:tcPr>
          <w:p w14:paraId="05517463">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303FF1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7" w:hRule="atLeast"/>
          <w:jc w:val="center"/>
        </w:trPr>
        <w:tc>
          <w:tcPr>
            <w:tcW w:w="1637" w:type="dxa"/>
            <w:tcBorders>
              <w:right w:val="single" w:color="auto" w:sz="4" w:space="0"/>
            </w:tcBorders>
            <w:vAlign w:val="center"/>
          </w:tcPr>
          <w:p w14:paraId="63F8D1A5">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养老事业</w:t>
            </w:r>
          </w:p>
        </w:tc>
        <w:tc>
          <w:tcPr>
            <w:tcW w:w="7083" w:type="dxa"/>
            <w:tcBorders>
              <w:left w:val="single" w:color="auto" w:sz="4" w:space="0"/>
            </w:tcBorders>
            <w:vAlign w:val="center"/>
          </w:tcPr>
          <w:p w14:paraId="23A0558F">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积极推进社区养老驿站、老年人活动中心、郊区敬老院翻新项目、居家养老服务中心项目等。</w:t>
            </w:r>
          </w:p>
        </w:tc>
      </w:tr>
      <w:tr w14:paraId="455FEBB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2" w:hRule="atLeast"/>
          <w:jc w:val="center"/>
        </w:trPr>
        <w:tc>
          <w:tcPr>
            <w:tcW w:w="1637" w:type="dxa"/>
            <w:tcBorders>
              <w:bottom w:val="single" w:color="auto" w:sz="12" w:space="0"/>
              <w:right w:val="single" w:color="auto" w:sz="4" w:space="0"/>
            </w:tcBorders>
            <w:vAlign w:val="center"/>
          </w:tcPr>
          <w:p w14:paraId="2018BBB1">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托育</w:t>
            </w:r>
          </w:p>
        </w:tc>
        <w:tc>
          <w:tcPr>
            <w:tcW w:w="7083" w:type="dxa"/>
            <w:tcBorders>
              <w:left w:val="single" w:color="auto" w:sz="4" w:space="0"/>
              <w:bottom w:val="single" w:color="auto" w:sz="12" w:space="0"/>
            </w:tcBorders>
            <w:vAlign w:val="center"/>
          </w:tcPr>
          <w:p w14:paraId="6FE528EC">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在全区谋划设置一定数量的示范性托位；支持有条件的社区建设托育设施、用人单位办托点普惠托育服务设施。</w:t>
            </w:r>
          </w:p>
        </w:tc>
      </w:tr>
      <w:bookmarkEnd w:id="108"/>
      <w:bookmarkEnd w:id="109"/>
    </w:tbl>
    <w:p w14:paraId="70DBE591">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10" w:name="_Toc216985891"/>
      <w:bookmarkStart w:id="111" w:name="_Toc61353453"/>
      <w:bookmarkStart w:id="112" w:name="_Toc10057"/>
      <w:bookmarkStart w:id="113" w:name="_Toc3695"/>
      <w:bookmarkStart w:id="114" w:name="_Toc56093105"/>
      <w:bookmarkStart w:id="115" w:name="_Hlk204543958"/>
      <w:r>
        <w:rPr>
          <w:rFonts w:hint="default" w:ascii="Times New Roman" w:hAnsi="Times New Roman" w:eastAsia="黑体" w:cs="Times New Roman"/>
          <w:b w:val="0"/>
          <w:bCs w:val="0"/>
          <w:highlight w:val="none"/>
          <w:u w:val="none"/>
          <w:lang w:val="zh-CN"/>
        </w:rPr>
        <w:t>七、全面促进民族团结融合</w:t>
      </w:r>
      <w:bookmarkEnd w:id="110"/>
    </w:p>
    <w:p w14:paraId="3F02D999">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bCs/>
          <w:sz w:val="32"/>
          <w:highlight w:val="none"/>
          <w:u w:val="none"/>
        </w:rPr>
        <w:t>深化铸牢中华民族共同体意识宣传教育。</w:t>
      </w:r>
      <w:r>
        <w:rPr>
          <w:rFonts w:hint="default" w:ascii="Times New Roman" w:hAnsi="Times New Roman" w:eastAsia="仿宋_GB2312" w:cs="Times New Roman"/>
          <w:sz w:val="32"/>
          <w:highlight w:val="none"/>
          <w:u w:val="none"/>
        </w:rPr>
        <w:t>深入贯彻落实习近平总书记关于加强和改进民族工作的重要思想，坚持将铸牢中华民族共同体意识作为党的民族工作和民族地区各项工作的主线，以民族团结促进我区经济社会全面发展。将铸牢中华民族共同体意识融入全区宣传思想工作大格局，纳入干部教育、党员教育、国民教育、社会教育全过程，纳入区级党委（党组）理论学习中心组学习、区级党校（行政学院）学习、培训内容。坚持各民族共同团结奋斗、共同繁荣发展，深入开展民族团结进步创建工作进机关、进企业、进乡镇、进社区、进学校、进宗教活动场所，鼓励基层探索创新形式多样的民族团结进步创建活动，深入开展民族团结进步宣传月活动。</w:t>
      </w:r>
    </w:p>
    <w:p w14:paraId="6B62880A">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bCs/>
          <w:sz w:val="32"/>
          <w:highlight w:val="none"/>
          <w:u w:val="none"/>
        </w:rPr>
        <w:t>着力构筑各民族共有精神家园。</w:t>
      </w:r>
      <w:r>
        <w:rPr>
          <w:rFonts w:hint="default" w:ascii="Times New Roman" w:hAnsi="Times New Roman" w:eastAsia="仿宋_GB2312" w:cs="Times New Roman"/>
          <w:sz w:val="32"/>
          <w:highlight w:val="none"/>
          <w:u w:val="none"/>
        </w:rPr>
        <w:t>持续在各族群众中深入培育和践行社会主义核心价值观，深入挖掘在东北抗联精神、北大荒精神形成过程中涌现出的各民族大团结的生动事迹和典型人物，讲好我区民族团结进步故事。发挥省级“六共”社区示范作用，促进各民族交往交流交融，不断增强各民族群众</w:t>
      </w:r>
      <w:bookmarkStart w:id="116" w:name="_Hlk215741840"/>
      <w:r>
        <w:rPr>
          <w:rFonts w:hint="default" w:ascii="Times New Roman" w:hAnsi="Times New Roman" w:eastAsia="仿宋_GB2312" w:cs="Times New Roman"/>
          <w:sz w:val="32"/>
          <w:highlight w:val="none"/>
          <w:u w:val="none"/>
        </w:rPr>
        <w:t>“五个认同”</w:t>
      </w:r>
      <w:bookmarkEnd w:id="116"/>
      <w:r>
        <w:rPr>
          <w:rFonts w:hint="default" w:ascii="Times New Roman" w:hAnsi="Times New Roman" w:eastAsia="仿宋_GB2312" w:cs="Times New Roman"/>
          <w:sz w:val="32"/>
          <w:highlight w:val="none"/>
          <w:u w:val="none"/>
        </w:rPr>
        <w:t>。推动民族各项事业繁荣发展，加强民族乡村面貌与人居环境建设，推动医疗卫生、创业就业、社会保障、基本社会服务、住房保障等公共资源优先向民族聚居地区配置。</w:t>
      </w:r>
    </w:p>
    <w:p w14:paraId="3E09D015">
      <w:pPr>
        <w:keepNext w:val="0"/>
        <w:keepLines w:val="0"/>
        <w:pageBreakBefore w:val="0"/>
        <w:widowControl w:val="0"/>
        <w:kinsoku/>
        <w:wordWrap/>
        <w:overflowPunct w:val="0"/>
        <w:topLinePunct w:val="0"/>
        <w:bidi w:val="0"/>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bCs/>
          <w:sz w:val="32"/>
          <w:highlight w:val="none"/>
          <w:u w:val="none"/>
        </w:rPr>
        <w:t>全面提升民族事务治理能力和治理水平。</w:t>
      </w:r>
      <w:r>
        <w:rPr>
          <w:rFonts w:hint="default" w:ascii="Times New Roman" w:hAnsi="Times New Roman" w:eastAsia="仿宋_GB2312" w:cs="Times New Roman"/>
          <w:sz w:val="32"/>
          <w:highlight w:val="none"/>
          <w:u w:val="none"/>
        </w:rPr>
        <w:t>要依法保障各民族群众合法权益，依法妥善处置涉民族因素的案件。加强法治宣传教育，在民族村开展普法宣传教育活动，增强各族群众的国家意识、法治意识、公民意识，有效防范化解民族领域风险隐患。</w:t>
      </w:r>
      <w:bookmarkEnd w:id="111"/>
      <w:bookmarkEnd w:id="112"/>
      <w:bookmarkEnd w:id="113"/>
      <w:bookmarkEnd w:id="114"/>
    </w:p>
    <w:bookmarkEnd w:id="115"/>
    <w:p w14:paraId="38AF5541">
      <w:pPr>
        <w:keepNext w:val="0"/>
        <w:keepLines w:val="0"/>
        <w:pageBreakBefore w:val="0"/>
        <w:widowControl w:val="0"/>
        <w:kinsoku/>
        <w:wordWrap/>
        <w:overflowPunct w:val="0"/>
        <w:topLinePunct w:val="0"/>
        <w:autoSpaceDE w:val="0"/>
        <w:autoSpaceDN w:val="0"/>
        <w:bidi w:val="0"/>
        <w:adjustRightInd w:val="0"/>
        <w:snapToGrid/>
        <w:spacing w:line="580" w:lineRule="exact"/>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117" w:name="_Toc216985892"/>
      <w:r>
        <w:rPr>
          <w:rFonts w:hint="default" w:ascii="Times New Roman" w:hAnsi="Times New Roman" w:eastAsia="方正小标宋简体" w:cs="Times New Roman"/>
          <w:b w:val="0"/>
          <w:bCs/>
          <w:sz w:val="32"/>
          <w:szCs w:val="32"/>
          <w:highlight w:val="none"/>
          <w:u w:val="none"/>
          <w:lang w:val="zh-CN"/>
        </w:rPr>
        <w:t>第十一章 以改革释放发展新动能，开创合作开放新局面</w:t>
      </w:r>
      <w:bookmarkEnd w:id="117"/>
    </w:p>
    <w:p w14:paraId="39666798">
      <w:pPr>
        <w:keepNext w:val="0"/>
        <w:keepLines w:val="0"/>
        <w:pageBreakBefore w:val="0"/>
        <w:widowControl w:val="0"/>
        <w:kinsoku/>
        <w:wordWrap/>
        <w:overflowPunct w:val="0"/>
        <w:topLinePunct w:val="0"/>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牢牢把握全面深化改革的突破口和关键点</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进一步释放经济发展活力和社会创造力，努力营造更有活力、更加公平的市场环境。积极融入国家重大战略，加快拓展对外开放通道，服务对外开放总体布局，全面提升区域合作水平。</w:t>
      </w:r>
    </w:p>
    <w:p w14:paraId="28A108EA">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18" w:name="_Toc63017894"/>
      <w:bookmarkStart w:id="119" w:name="_Toc216985893"/>
      <w:r>
        <w:rPr>
          <w:rFonts w:hint="default" w:ascii="Times New Roman" w:hAnsi="Times New Roman" w:eastAsia="黑体" w:cs="Times New Roman"/>
          <w:b w:val="0"/>
          <w:bCs w:val="0"/>
          <w:highlight w:val="none"/>
          <w:u w:val="none"/>
          <w:lang w:val="zh-CN"/>
        </w:rPr>
        <w:t>一、推动有效市场与有为政府有机结合</w:t>
      </w:r>
      <w:bookmarkEnd w:id="118"/>
      <w:bookmarkEnd w:id="119"/>
    </w:p>
    <w:p w14:paraId="06D91472">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bCs/>
          <w:sz w:val="32"/>
          <w:szCs w:val="32"/>
          <w:highlight w:val="none"/>
          <w:u w:val="none"/>
        </w:rPr>
      </w:pPr>
      <w:bookmarkStart w:id="120" w:name="_Hlk205240059"/>
      <w:r>
        <w:rPr>
          <w:rFonts w:hint="default" w:ascii="Times New Roman" w:hAnsi="Times New Roman" w:eastAsia="仿宋_GB2312" w:cs="Times New Roman"/>
          <w:b/>
          <w:sz w:val="32"/>
          <w:szCs w:val="32"/>
          <w:highlight w:val="none"/>
          <w:u w:val="none"/>
        </w:rPr>
        <w:t>推动全国统一大市场建设。</w:t>
      </w:r>
      <w:r>
        <w:rPr>
          <w:rFonts w:hint="default" w:ascii="Times New Roman" w:hAnsi="Times New Roman" w:eastAsia="仿宋_GB2312" w:cs="Times New Roman"/>
          <w:bCs/>
          <w:sz w:val="32"/>
          <w:szCs w:val="32"/>
          <w:highlight w:val="none"/>
          <w:u w:val="none"/>
        </w:rPr>
        <w:t>规范各类非税收入管理，清理排斥外地企业进入本地市场的规定和行为，依法保护各类市场主体合法权益。深化要素市场化配置改革，促进土地、劳动力、资本、技术、数据等要素自主有序流动。加强社会信用体系建设，深入开展政府失信违诺专项治理，推动机关、事业单位和社会组织诚信服务，建立健全守信激励和失信惩戒机制。</w:t>
      </w:r>
    </w:p>
    <w:p w14:paraId="44DFB28E">
      <w:pPr>
        <w:keepNext w:val="0"/>
        <w:keepLines w:val="0"/>
        <w:pageBreakBefore w:val="0"/>
        <w:widowControl w:val="0"/>
        <w:kinsoku/>
        <w:wordWrap/>
        <w:overflowPunct w:val="0"/>
        <w:topLinePunct w:val="0"/>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全面优化营商环境</w:t>
      </w:r>
      <w:bookmarkEnd w:id="120"/>
      <w:r>
        <w:rPr>
          <w:rFonts w:hint="default" w:ascii="Times New Roman" w:hAnsi="Times New Roman" w:eastAsia="仿宋_GB2312" w:cs="Times New Roman"/>
          <w:b/>
          <w:sz w:val="32"/>
          <w:szCs w:val="32"/>
          <w:highlight w:val="none"/>
          <w:u w:val="none"/>
        </w:rPr>
        <w:t>。</w:t>
      </w:r>
      <w:r>
        <w:rPr>
          <w:rFonts w:hint="default" w:ascii="Times New Roman" w:hAnsi="Times New Roman" w:eastAsia="仿宋_GB2312" w:cs="Times New Roman"/>
          <w:sz w:val="32"/>
          <w:szCs w:val="32"/>
          <w:highlight w:val="none"/>
          <w:u w:val="none"/>
        </w:rPr>
        <w:t>落实国家高标准市场体系建设行动，推进要素资源高效配置，改善提升市场环境和质量。深化简政放权、放管结合、优化服务改革，全力推行</w:t>
      </w:r>
      <w:r>
        <w:rPr>
          <w:rFonts w:hint="eastAsia" w:ascii="Times New Roman" w:hAnsi="Times New Roman" w:eastAsia="仿宋_GB2312" w:cs="Times New Roman"/>
          <w:sz w:val="32"/>
          <w:szCs w:val="32"/>
          <w:highlight w:val="none"/>
          <w:u w:val="none"/>
          <w:lang w:eastAsia="zh-CN"/>
        </w:rPr>
        <w:t>权力</w:t>
      </w:r>
      <w:r>
        <w:rPr>
          <w:rFonts w:hint="default" w:ascii="Times New Roman" w:hAnsi="Times New Roman" w:eastAsia="仿宋_GB2312" w:cs="Times New Roman"/>
          <w:sz w:val="32"/>
          <w:szCs w:val="32"/>
          <w:highlight w:val="none"/>
          <w:u w:val="none"/>
        </w:rPr>
        <w:t>清单、责任清单、负面清单制度，加强和规范事中事后监管。</w:t>
      </w:r>
      <w:r>
        <w:rPr>
          <w:rFonts w:hint="default" w:ascii="Times New Roman" w:hAnsi="Times New Roman" w:eastAsia="仿宋_GB2312" w:cs="Times New Roman"/>
          <w:kern w:val="2"/>
          <w:sz w:val="32"/>
          <w:szCs w:val="32"/>
          <w:highlight w:val="none"/>
          <w:u w:val="none"/>
          <w:lang w:val="en-US" w:eastAsia="zh-CN" w:bidi="ar-SA"/>
        </w:rPr>
        <w:t>依托郊区现有“四库两员一团”服务模式，建立“‘十五五’民营经济政策直通车”机制，通过惠企服务专员上门宣讲、线上平台智能推送，确保惠企政策不打折扣、直达企业。</w:t>
      </w:r>
      <w:r>
        <w:rPr>
          <w:rFonts w:hint="default" w:ascii="Times New Roman" w:hAnsi="Times New Roman" w:eastAsia="仿宋_GB2312" w:cs="Times New Roman"/>
          <w:sz w:val="32"/>
          <w:szCs w:val="32"/>
          <w:highlight w:val="none"/>
          <w:u w:val="none"/>
        </w:rPr>
        <w:t>搭建“线上线下、虚实一体”的政务服务平台，推动实现“一窗受理、内部流转、并联审批”的全流程审批程序，系统化推进“办事不求人”落实落地，持续推动“高效办成一件事”。深化商事制度改革，简化涉企生产经营审批程序和条件，营造宽松便捷的市场准入和退出环境，打造办事遵法度、服务有温度、市场有热度的市场化、法治化、国际化营商环境。完善营商环境考核评价体系，健全优化营商环境长效机制。</w:t>
      </w:r>
    </w:p>
    <w:p w14:paraId="54D1B83E">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sz w:val="32"/>
          <w:szCs w:val="32"/>
          <w:highlight w:val="none"/>
          <w:u w:val="none"/>
        </w:rPr>
        <w:t>提升政府服务能力。</w:t>
      </w:r>
      <w:r>
        <w:rPr>
          <w:rFonts w:hint="default" w:ascii="Times New Roman" w:hAnsi="Times New Roman" w:eastAsia="仿宋_GB2312" w:cs="Times New Roman"/>
          <w:sz w:val="32"/>
          <w:szCs w:val="32"/>
          <w:highlight w:val="none"/>
          <w:u w:val="none"/>
        </w:rPr>
        <w:t>以基层群众办事需求为导向，提高政府服务的针对性、精准度和个性化，推进行政审批和公共服务向乡镇延伸，完善区、乡镇（街道）、村（社区）三级联动的综合政务服务体系，确保基层事项基层办、基层事情有人办。加快推进“数字郊区”“透明郊区”建设。全面实施政务服务“好差评”制度体系，实现政务服务事项、评价对象全覆盖。充分发挥市场机制作用，完善市场规则并带头遵守规则，创造更加公平、更有活力的市场环境，防止政府对微观主体活动的不当干涉，激发全社会内生动力和创新活力。</w:t>
      </w:r>
    </w:p>
    <w:p w14:paraId="3DC01ADD">
      <w:pPr>
        <w:keepNext w:val="0"/>
        <w:keepLines w:val="0"/>
        <w:pageBreakBefore w:val="0"/>
        <w:widowControl w:val="0"/>
        <w:kinsoku/>
        <w:wordWrap/>
        <w:overflowPunct w:val="0"/>
        <w:topLinePunct w:val="0"/>
        <w:autoSpaceDE w:val="0"/>
        <w:autoSpaceDN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支持民营经济发展。</w:t>
      </w:r>
      <w:r>
        <w:rPr>
          <w:rFonts w:hint="default" w:ascii="Times New Roman" w:hAnsi="Times New Roman" w:eastAsia="仿宋_GB2312" w:cs="Times New Roman"/>
          <w:sz w:val="32"/>
          <w:szCs w:val="32"/>
          <w:highlight w:val="none"/>
          <w:u w:val="none"/>
        </w:rPr>
        <w:t>落实促进民营经济发展的政策措施，严格落实市场准入负面清单制度，健全联系服务重点民营企业制度。全面清理拖欠民营企业账款。支持民营企业参与郊区重大基础设施、产业集群及产业链建设，实现产业链创新链协同发展。探索民营企业与央国企务实合作的有效模式。</w:t>
      </w:r>
      <w:bookmarkStart w:id="121" w:name="OLE_LINK21"/>
      <w:r>
        <w:rPr>
          <w:rFonts w:hint="default" w:ascii="Times New Roman" w:hAnsi="Times New Roman" w:eastAsia="仿宋_GB2312" w:cs="Times New Roman"/>
          <w:sz w:val="32"/>
          <w:szCs w:val="32"/>
          <w:highlight w:val="none"/>
          <w:u w:val="none"/>
        </w:rPr>
        <w:t>推进军民融合深度，支持企业在科技创新、产品研发、要素供给等方面与军工企业融合发展。</w:t>
      </w:r>
      <w:bookmarkEnd w:id="121"/>
      <w:r>
        <w:rPr>
          <w:rFonts w:hint="default" w:ascii="Times New Roman" w:hAnsi="Times New Roman" w:eastAsia="仿宋_GB2312" w:cs="Times New Roman"/>
          <w:sz w:val="32"/>
          <w:szCs w:val="32"/>
          <w:highlight w:val="none"/>
          <w:u w:val="none"/>
        </w:rPr>
        <w:t>构建亲清新型政商关系，健全政企沟通协商制度，建立投资项目服务专班和首席服务员制度，建立健全企业和企业家权益保护制度。更好地发挥工商联和商会桥梁纽带助手作用。支持商会建立共享服务中心，整合法律、财税等资源，为企业提供全周期服务。</w:t>
      </w:r>
    </w:p>
    <w:p w14:paraId="72A5DA71">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highlight w:val="none"/>
          <w:u w:val="none"/>
        </w:rPr>
      </w:pPr>
      <w:r>
        <w:rPr>
          <w:rFonts w:hint="default" w:ascii="Times New Roman" w:hAnsi="Times New Roman" w:eastAsia="仿宋_GB2312" w:cs="Times New Roman"/>
          <w:b/>
          <w:bCs/>
          <w:sz w:val="32"/>
          <w:szCs w:val="32"/>
          <w:highlight w:val="none"/>
          <w:u w:val="none"/>
        </w:rPr>
        <w:t>深化民生领域综合改革。</w:t>
      </w:r>
      <w:r>
        <w:rPr>
          <w:rFonts w:hint="default" w:ascii="Times New Roman" w:hAnsi="Times New Roman" w:eastAsia="仿宋_GB2312" w:cs="Times New Roman"/>
          <w:sz w:val="32"/>
          <w:szCs w:val="32"/>
          <w:highlight w:val="none"/>
          <w:u w:val="none"/>
        </w:rPr>
        <w:t>深化农业农村制度改革，积极落实《中华人民共和国农村集体经济组织法》，规范农村集体财产的经营管理和收益分配制度。开展多种农业生产托管服务模式试点工作。进一步巩固和拓展集体林权制度改革和国有林场改革成果，确保集体林地承包关系长期稳定，放活林地经营权、保障林木所有权，推动不动产登记信息平台与林权综合监管平台有效对接。深化教育综合改革，推进义务教育学校教师、校长合理流动，继续深化教师聘任制度改革，落实黑龙江省中小学教师减负工作。深化医药卫生体制改革，推进和规范医师多点执业。</w:t>
      </w:r>
    </w:p>
    <w:p w14:paraId="5FBA28D2">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22" w:name="_Toc202609656"/>
      <w:bookmarkStart w:id="123" w:name="_Toc216985894"/>
      <w:r>
        <w:rPr>
          <w:rFonts w:hint="default" w:ascii="Times New Roman" w:hAnsi="Times New Roman" w:eastAsia="黑体" w:cs="Times New Roman"/>
          <w:b w:val="0"/>
          <w:bCs w:val="0"/>
          <w:highlight w:val="none"/>
          <w:u w:val="none"/>
          <w:lang w:val="zh-CN"/>
        </w:rPr>
        <w:t>二、全面</w:t>
      </w:r>
      <w:bookmarkEnd w:id="122"/>
      <w:r>
        <w:rPr>
          <w:rFonts w:hint="default" w:ascii="Times New Roman" w:hAnsi="Times New Roman" w:eastAsia="黑体" w:cs="Times New Roman"/>
          <w:b w:val="0"/>
          <w:bCs w:val="0"/>
          <w:highlight w:val="none"/>
          <w:u w:val="none"/>
          <w:lang w:val="zh-CN"/>
        </w:rPr>
        <w:t>拓展国内外开放合作</w:t>
      </w:r>
      <w:bookmarkEnd w:id="123"/>
    </w:p>
    <w:p w14:paraId="03BCDF3A">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优化对外开放合作格局。</w:t>
      </w:r>
      <w:r>
        <w:rPr>
          <w:rFonts w:hint="default" w:ascii="Times New Roman" w:hAnsi="Times New Roman" w:eastAsia="仿宋_GB2312" w:cs="Times New Roman"/>
          <w:sz w:val="32"/>
          <w:szCs w:val="32"/>
          <w:highlight w:val="none"/>
          <w:u w:val="none"/>
        </w:rPr>
        <w:t>抢抓国家“一带一路”建设和全省打造向北开放新高地等战略机遇，利用黑龙江省自贸区佳木斯协同发展先导区平台，积极参与开放合作与交流，优化贸易结构，提升利用外资水平。积极推动企业“走出去”，全面提升对外开放的水平和质量，培育对外贸易新优势。组织内外贸企业参加哈洽会、中俄博览会和进博会等国内外商务活动。积极做好对外交往、团组互访的各方面准备工作，不断扩宽交流渠道，巩固目前合作局面，拓展对外开放新空间。有针对性、前瞻性地深入研究加强对俄远东地区合作开发，谋划好政府、经贸、人文等各领域对外交流活动。积极参与“中蒙俄经济走廊”建设，开拓“一带一路”沿线国家市场。到2030年，全区进出口总额年均增长7%。</w:t>
      </w:r>
    </w:p>
    <w:p w14:paraId="7FCC6CDD">
      <w:pPr>
        <w:keepNext w:val="0"/>
        <w:keepLines w:val="0"/>
        <w:pageBreakBefore w:val="0"/>
        <w:widowControl w:val="0"/>
        <w:kinsoku/>
        <w:wordWrap/>
        <w:overflowPunct w:val="0"/>
        <w:topLinePunct w:val="0"/>
        <w:bidi w:val="0"/>
        <w:adjustRightInd/>
        <w:snapToGrid/>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促进内外贸协同发展。</w:t>
      </w:r>
      <w:r>
        <w:rPr>
          <w:rFonts w:hint="default" w:ascii="Times New Roman" w:hAnsi="Times New Roman" w:eastAsia="仿宋_GB2312" w:cs="Times New Roman"/>
          <w:sz w:val="32"/>
          <w:szCs w:val="32"/>
          <w:highlight w:val="none"/>
          <w:u w:val="none"/>
        </w:rPr>
        <w:t>搭建开放平台载体，全力创建省级跨境电商产业园和省级外贸转型升级基地，提升产业集聚与贸易便利化水平。积极引育外向型市场主体，依托佳木斯数字创意产业园、江北</w:t>
      </w:r>
      <w:r>
        <w:rPr>
          <w:rFonts w:hint="default" w:ascii="Times New Roman" w:hAnsi="Times New Roman" w:eastAsia="仿宋_GB2312" w:cs="Times New Roman"/>
          <w:sz w:val="32"/>
          <w:szCs w:val="32"/>
          <w:highlight w:val="none"/>
          <w:u w:val="none"/>
          <w:lang w:val="en-US" w:eastAsia="zh-CN"/>
        </w:rPr>
        <w:t>园</w:t>
      </w:r>
      <w:r>
        <w:rPr>
          <w:rFonts w:hint="default" w:ascii="Times New Roman" w:hAnsi="Times New Roman" w:eastAsia="仿宋_GB2312" w:cs="Times New Roman"/>
          <w:sz w:val="32"/>
          <w:szCs w:val="32"/>
          <w:highlight w:val="none"/>
          <w:u w:val="none"/>
        </w:rPr>
        <w:t>区，精准招引沿海外贸生产出口及加工贸易企业返乡创业。</w:t>
      </w:r>
      <w:bookmarkStart w:id="124" w:name="_Toc202609657"/>
      <w:r>
        <w:rPr>
          <w:rFonts w:hint="default" w:ascii="Times New Roman" w:hAnsi="Times New Roman" w:eastAsia="仿宋_GB2312" w:cs="Times New Roman"/>
          <w:sz w:val="32"/>
          <w:szCs w:val="32"/>
          <w:highlight w:val="none"/>
          <w:u w:val="none"/>
        </w:rPr>
        <w:t>到2030年，全区实际利用内资额年均增长率不低于10%，全区实际利用外资年均增长5万美元。</w:t>
      </w:r>
    </w:p>
    <w:p w14:paraId="60794E59">
      <w:pPr>
        <w:keepNext w:val="0"/>
        <w:keepLines w:val="0"/>
        <w:pageBreakBefore w:val="0"/>
        <w:widowControl w:val="0"/>
        <w:kinsoku/>
        <w:wordWrap/>
        <w:overflowPunct w:val="0"/>
        <w:topLinePunct w:val="0"/>
        <w:autoSpaceDE/>
        <w:autoSpaceDN/>
        <w:bidi w:val="0"/>
        <w:adjustRightInd/>
        <w:snapToGrid/>
        <w:spacing w:after="64" w:afterLines="20"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扩大与省内外区域合作</w:t>
      </w:r>
      <w:bookmarkEnd w:id="124"/>
      <w:r>
        <w:rPr>
          <w:rFonts w:hint="default" w:ascii="Times New Roman" w:hAnsi="Times New Roman" w:eastAsia="仿宋_GB2312" w:cs="Times New Roman"/>
          <w:b/>
          <w:bCs/>
          <w:sz w:val="32"/>
          <w:szCs w:val="32"/>
          <w:highlight w:val="none"/>
          <w:u w:val="none"/>
        </w:rPr>
        <w:t>。</w:t>
      </w:r>
      <w:r>
        <w:rPr>
          <w:rFonts w:hint="default" w:ascii="Times New Roman" w:hAnsi="Times New Roman" w:eastAsia="仿宋_GB2312" w:cs="Times New Roman"/>
          <w:sz w:val="32"/>
          <w:szCs w:val="32"/>
          <w:highlight w:val="none"/>
          <w:u w:val="none"/>
        </w:rPr>
        <w:t>坚持优势互补、共赢发展，强化与京津冀、长三角、珠三角等区域在科技研发、绿色发展、文化旅游等领域合作，吸引企业和项目来园区投资或建设，承接产业转移。</w:t>
      </w:r>
      <w:bookmarkStart w:id="125" w:name="OLE_LINK2"/>
      <w:r>
        <w:rPr>
          <w:rFonts w:hint="default" w:ascii="Times New Roman" w:hAnsi="Times New Roman" w:eastAsia="仿宋_GB2312" w:cs="Times New Roman"/>
          <w:sz w:val="32"/>
          <w:szCs w:val="32"/>
          <w:highlight w:val="none"/>
          <w:u w:val="none"/>
        </w:rPr>
        <w:t>加强与中山市石岐街道</w:t>
      </w:r>
      <w:bookmarkEnd w:id="125"/>
      <w:r>
        <w:rPr>
          <w:rFonts w:hint="default" w:ascii="Times New Roman" w:hAnsi="Times New Roman" w:eastAsia="仿宋_GB2312" w:cs="Times New Roman"/>
          <w:sz w:val="32"/>
          <w:szCs w:val="32"/>
          <w:highlight w:val="none"/>
          <w:u w:val="none"/>
        </w:rPr>
        <w:t>对口战略合作，探索在社会服务、经济协作、粮食产销、园区改造、文旅融合等领域深入合作，力争在培育新业态、高端定制、招商方面取得突破。促进区域联动发展，发挥郊区作为佳木斯主城承载区、对俄合作前沿阵地、省东部交通枢纽的多重优势，打造现代物流承载区、高端商贸聚集区，增加比较优势、错位优势，实现和周边地区耦合发展。全面强化高新区与四城区联合招商机制，同步加强与佳木斯各区、汤原、桦川等周边县合作，在重大基础设施建设、产业分工协作、旅游开发、打造招商共同体、商贸物流等领域深度合作。推动垦地、林地合作落地见效，将垦地托管合作。</w:t>
      </w:r>
    </w:p>
    <w:tbl>
      <w:tblPr>
        <w:tblStyle w:val="30"/>
        <w:tblW w:w="8787"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801"/>
        <w:gridCol w:w="6986"/>
      </w:tblGrid>
      <w:tr w14:paraId="58A1BF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2" w:hRule="atLeast"/>
          <w:jc w:val="center"/>
        </w:trPr>
        <w:tc>
          <w:tcPr>
            <w:tcW w:w="8787" w:type="dxa"/>
            <w:gridSpan w:val="2"/>
            <w:tcBorders>
              <w:top w:val="single" w:color="auto" w:sz="12" w:space="0"/>
            </w:tcBorders>
            <w:vAlign w:val="center"/>
          </w:tcPr>
          <w:p w14:paraId="28BF941C">
            <w:pPr>
              <w:spacing w:line="320" w:lineRule="exact"/>
              <w:jc w:val="center"/>
              <w:textAlignment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专栏28 对外开放与区域合作重大工程项目</w:t>
            </w:r>
          </w:p>
        </w:tc>
      </w:tr>
      <w:tr w14:paraId="4009074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4" w:hRule="atLeast"/>
          <w:jc w:val="center"/>
        </w:trPr>
        <w:tc>
          <w:tcPr>
            <w:tcW w:w="1801" w:type="dxa"/>
            <w:tcBorders>
              <w:right w:val="single" w:color="auto" w:sz="4" w:space="0"/>
            </w:tcBorders>
            <w:vAlign w:val="center"/>
          </w:tcPr>
          <w:p w14:paraId="50405115">
            <w:pPr>
              <w:spacing w:line="320" w:lineRule="exact"/>
              <w:jc w:val="center"/>
              <w:textAlignment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任务</w:t>
            </w:r>
          </w:p>
        </w:tc>
        <w:tc>
          <w:tcPr>
            <w:tcW w:w="6986" w:type="dxa"/>
            <w:tcBorders>
              <w:left w:val="single" w:color="auto" w:sz="4" w:space="0"/>
            </w:tcBorders>
            <w:vAlign w:val="center"/>
          </w:tcPr>
          <w:p w14:paraId="4E73802C">
            <w:pPr>
              <w:spacing w:line="320" w:lineRule="exact"/>
              <w:jc w:val="center"/>
              <w:textAlignment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建设内容</w:t>
            </w:r>
          </w:p>
        </w:tc>
      </w:tr>
      <w:tr w14:paraId="777166B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3" w:hRule="atLeast"/>
          <w:jc w:val="center"/>
        </w:trPr>
        <w:tc>
          <w:tcPr>
            <w:tcW w:w="1801" w:type="dxa"/>
            <w:tcBorders>
              <w:right w:val="single" w:color="auto" w:sz="4" w:space="0"/>
            </w:tcBorders>
            <w:vAlign w:val="center"/>
          </w:tcPr>
          <w:p w14:paraId="35681857">
            <w:pPr>
              <w:spacing w:line="320" w:lineRule="exact"/>
              <w:jc w:val="center"/>
              <w:textAlignment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对外开发开放</w:t>
            </w:r>
          </w:p>
        </w:tc>
        <w:tc>
          <w:tcPr>
            <w:tcW w:w="6986" w:type="dxa"/>
            <w:tcBorders>
              <w:left w:val="single" w:color="auto" w:sz="4" w:space="0"/>
            </w:tcBorders>
          </w:tcPr>
          <w:p w14:paraId="757A7F45">
            <w:pPr>
              <w:spacing w:line="320" w:lineRule="exact"/>
              <w:jc w:val="left"/>
              <w:textAlignment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重点推进对俄远东地区合作开发；积极拓展</w:t>
            </w:r>
            <w:r>
              <w:rPr>
                <w:rFonts w:hint="default" w:ascii="Times New Roman" w:hAnsi="Times New Roman" w:eastAsia="宋体" w:cs="Times New Roman"/>
                <w:color w:val="000000"/>
                <w:sz w:val="24"/>
                <w:szCs w:val="24"/>
                <w:highlight w:val="none"/>
                <w:u w:val="none"/>
                <w:lang w:eastAsia="zh-CN"/>
              </w:rPr>
              <w:t>“一带一路”沿线国家</w:t>
            </w:r>
            <w:r>
              <w:rPr>
                <w:rFonts w:hint="default" w:ascii="Times New Roman" w:hAnsi="Times New Roman" w:eastAsia="宋体" w:cs="Times New Roman"/>
                <w:color w:val="000000"/>
                <w:sz w:val="24"/>
                <w:szCs w:val="24"/>
                <w:highlight w:val="none"/>
                <w:u w:val="none"/>
              </w:rPr>
              <w:t>战略合作。</w:t>
            </w:r>
          </w:p>
        </w:tc>
      </w:tr>
      <w:tr w14:paraId="558B75A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9" w:hRule="atLeast"/>
          <w:jc w:val="center"/>
        </w:trPr>
        <w:tc>
          <w:tcPr>
            <w:tcW w:w="1801" w:type="dxa"/>
            <w:tcBorders>
              <w:bottom w:val="single" w:color="auto" w:sz="12" w:space="0"/>
              <w:right w:val="single" w:color="auto" w:sz="4" w:space="0"/>
            </w:tcBorders>
            <w:vAlign w:val="center"/>
          </w:tcPr>
          <w:p w14:paraId="547E3CA4">
            <w:pPr>
              <w:spacing w:line="320" w:lineRule="exact"/>
              <w:jc w:val="center"/>
              <w:textAlignment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区域合作共建</w:t>
            </w:r>
          </w:p>
        </w:tc>
        <w:tc>
          <w:tcPr>
            <w:tcW w:w="6986" w:type="dxa"/>
            <w:tcBorders>
              <w:left w:val="single" w:color="auto" w:sz="4" w:space="0"/>
              <w:bottom w:val="single" w:color="auto" w:sz="12" w:space="0"/>
            </w:tcBorders>
          </w:tcPr>
          <w:p w14:paraId="09E94868">
            <w:pPr>
              <w:spacing w:line="320" w:lineRule="exact"/>
              <w:jc w:val="left"/>
              <w:textAlignment w:val="cente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拓展与中山市石岐街道对口合作；强化周边区县产业一体化合作及互联互通。</w:t>
            </w:r>
          </w:p>
        </w:tc>
      </w:tr>
      <w:bookmarkEnd w:id="52"/>
      <w:bookmarkEnd w:id="53"/>
      <w:bookmarkEnd w:id="54"/>
      <w:bookmarkEnd w:id="55"/>
      <w:bookmarkEnd w:id="56"/>
    </w:tbl>
    <w:p w14:paraId="0F7489AE">
      <w:pPr>
        <w:keepNext w:val="0"/>
        <w:keepLines w:val="0"/>
        <w:pageBreakBefore w:val="0"/>
        <w:widowControl w:val="0"/>
        <w:kinsoku/>
        <w:wordWrap/>
        <w:overflowPunct w:val="0"/>
        <w:topLinePunct w:val="0"/>
        <w:autoSpaceDE w:val="0"/>
        <w:autoSpaceDN w:val="0"/>
        <w:bidi w:val="0"/>
        <w:adjustRightInd w:val="0"/>
        <w:snapToGrid/>
        <w:spacing w:before="160" w:beforeLines="50" w:line="600" w:lineRule="exact"/>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126" w:name="_Toc216985895"/>
      <w:bookmarkStart w:id="127" w:name="_Toc286647389"/>
      <w:bookmarkStart w:id="128" w:name="_Toc277687396"/>
      <w:bookmarkStart w:id="129" w:name="_Toc278613800"/>
      <w:bookmarkStart w:id="130" w:name="_Toc277683611"/>
      <w:bookmarkStart w:id="131" w:name="_Toc286647383"/>
      <w:bookmarkStart w:id="132" w:name="_Toc278613794"/>
      <w:bookmarkStart w:id="133" w:name="_Hlk204544001"/>
      <w:r>
        <w:rPr>
          <w:rFonts w:hint="default" w:ascii="Times New Roman" w:hAnsi="Times New Roman" w:eastAsia="方正小标宋简体" w:cs="Times New Roman"/>
          <w:b w:val="0"/>
          <w:bCs/>
          <w:sz w:val="32"/>
          <w:szCs w:val="32"/>
          <w:highlight w:val="none"/>
          <w:u w:val="none"/>
          <w:lang w:val="zh-CN"/>
        </w:rPr>
        <w:t>第十二章 促进消费与投资良性互动，</w:t>
      </w:r>
    </w:p>
    <w:p w14:paraId="42610383">
      <w:pPr>
        <w:keepNext w:val="0"/>
        <w:keepLines w:val="0"/>
        <w:pageBreakBefore w:val="0"/>
        <w:widowControl w:val="0"/>
        <w:kinsoku/>
        <w:wordWrap/>
        <w:overflowPunct w:val="0"/>
        <w:topLinePunct w:val="0"/>
        <w:autoSpaceDE w:val="0"/>
        <w:autoSpaceDN w:val="0"/>
        <w:bidi w:val="0"/>
        <w:adjustRightInd w:val="0"/>
        <w:snapToGrid/>
        <w:spacing w:after="160" w:afterLines="50" w:line="600" w:lineRule="exact"/>
        <w:jc w:val="center"/>
        <w:textAlignment w:val="auto"/>
        <w:outlineLvl w:val="0"/>
        <w:rPr>
          <w:rFonts w:hint="default" w:ascii="Times New Roman" w:hAnsi="Times New Roman" w:eastAsia="方正小标宋简体" w:cs="Times New Roman"/>
          <w:b w:val="0"/>
          <w:bCs/>
          <w:sz w:val="32"/>
          <w:szCs w:val="32"/>
          <w:highlight w:val="none"/>
          <w:u w:val="none"/>
          <w:lang w:val="zh-CN"/>
        </w:rPr>
      </w:pPr>
      <w:r>
        <w:rPr>
          <w:rFonts w:hint="default" w:ascii="Times New Roman" w:hAnsi="Times New Roman" w:eastAsia="方正小标宋简体" w:cs="Times New Roman"/>
          <w:b w:val="0"/>
          <w:bCs/>
          <w:sz w:val="32"/>
          <w:szCs w:val="32"/>
          <w:highlight w:val="none"/>
          <w:u w:val="none"/>
          <w:lang w:val="zh-CN"/>
        </w:rPr>
        <w:t>更好地服务和融入国内大循环</w:t>
      </w:r>
      <w:bookmarkEnd w:id="126"/>
    </w:p>
    <w:p w14:paraId="1ED08E1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sz w:val="32"/>
          <w:highlight w:val="none"/>
          <w:u w:val="none"/>
        </w:rPr>
        <w:t>坚持扩大内需和深化供给侧结构性改革相结合、惠民生和促消费相结合、投资于物和投资于人相结合，以新需求引领新供给，以新供给创造新需求，服务消费升级需要和国内大循环。</w:t>
      </w:r>
    </w:p>
    <w:p w14:paraId="6C7AB402">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34" w:name="_Toc216985896"/>
      <w:r>
        <w:rPr>
          <w:rFonts w:hint="default" w:ascii="Times New Roman" w:hAnsi="Times New Roman" w:eastAsia="黑体" w:cs="Times New Roman"/>
          <w:b w:val="0"/>
          <w:bCs w:val="0"/>
          <w:highlight w:val="none"/>
          <w:u w:val="none"/>
          <w:lang w:val="zh-CN"/>
        </w:rPr>
        <w:t>一、大力推动消费扩容升级</w:t>
      </w:r>
      <w:bookmarkEnd w:id="134"/>
    </w:p>
    <w:p w14:paraId="41E79F22">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bCs/>
          <w:sz w:val="32"/>
          <w:highlight w:val="none"/>
          <w:u w:val="none"/>
        </w:rPr>
        <w:t>有效释放消费潜力。</w:t>
      </w:r>
      <w:r>
        <w:rPr>
          <w:rFonts w:hint="default" w:ascii="Times New Roman" w:hAnsi="Times New Roman" w:eastAsia="仿宋_GB2312" w:cs="Times New Roman"/>
          <w:sz w:val="32"/>
          <w:highlight w:val="none"/>
          <w:u w:val="none"/>
        </w:rPr>
        <w:t>培育消费热点，加强家居、通讯、文体娱乐、医疗保健等商品经营，促进发展型、时尚型商品消费。深入实施消费品“以旧换新”工程，联动国家及地方政策，重点提振新能源汽车、电子产品、绿色智能家居等大宗消费，稳定扩大成品油、家电、家装等重点商品消费。打造特色商业街区和二手车销售集散中心。培育壮大新型消费，加速传统商贸企业数字化转型，运用大数据、云计算、人工智能提升运营效能。大力发展数字消费、绿色消费、夜间经济、首店经济等新业态。到2030年，社会消费品零售总额年均增长5%，总额突破3</w:t>
      </w:r>
      <w:r>
        <w:rPr>
          <w:rFonts w:hint="default" w:ascii="Times New Roman" w:hAnsi="Times New Roman" w:eastAsia="仿宋_GB2312" w:cs="Times New Roman"/>
          <w:sz w:val="32"/>
          <w:highlight w:val="none"/>
          <w:u w:val="none"/>
          <w:lang w:val="en-US" w:eastAsia="zh-CN"/>
        </w:rPr>
        <w:t>0</w:t>
      </w:r>
      <w:r>
        <w:rPr>
          <w:rFonts w:hint="default" w:ascii="Times New Roman" w:hAnsi="Times New Roman" w:eastAsia="仿宋_GB2312" w:cs="Times New Roman"/>
          <w:sz w:val="32"/>
          <w:highlight w:val="none"/>
          <w:u w:val="none"/>
        </w:rPr>
        <w:t>0亿元，对外贸易进出口总额年均增长7%。</w:t>
      </w:r>
    </w:p>
    <w:p w14:paraId="17811013">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35" w:name="_Toc216985897"/>
      <w:r>
        <w:rPr>
          <w:rFonts w:hint="default" w:ascii="Times New Roman" w:hAnsi="Times New Roman" w:eastAsia="黑体" w:cs="Times New Roman"/>
          <w:b w:val="0"/>
          <w:bCs w:val="0"/>
          <w:highlight w:val="none"/>
          <w:u w:val="none"/>
          <w:lang w:val="zh-CN"/>
        </w:rPr>
        <w:t>二、着力提升投资规模和效益</w:t>
      </w:r>
      <w:bookmarkEnd w:id="135"/>
    </w:p>
    <w:p w14:paraId="63EAB26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rPr>
        <w:t>推动投资规模和效益平稳提升。</w:t>
      </w:r>
      <w:r>
        <w:rPr>
          <w:rFonts w:hint="default" w:ascii="Times New Roman" w:hAnsi="Times New Roman" w:eastAsia="仿宋_GB2312" w:cs="Times New Roman"/>
          <w:color w:val="000000"/>
          <w:sz w:val="32"/>
          <w:szCs w:val="32"/>
          <w:highlight w:val="none"/>
          <w:u w:val="none"/>
        </w:rPr>
        <w:t>突出重大工程、重大项目在经济社会发展中的载体作用，推动郊区经济在特色化、优质化发展上实现新突破。优化政府投资结构，提高民生类政府投资比重，积极争取并推进国家重大战略实施和重点领域安全能力项目建设。适应人口结构变化和流动趋势，完善基础设施和公共服务设施布局，加强人力资源开发和人的全面发展投资，组织实施一批具有全局带动性和目标导向性的重大工程以及基础设施、产业发展、科技创新、社会民生、生态环保等重大项目。统筹用好各类政府投资，加强政府投资全过程管理，深化投资审批制度改革。健全产业链精准招商、特色资源靶向招商、科技创新成果招商机制，扩大产业投资规模，培育投资新增长点，提升招商引资质效。创新投融资体制机制，完善民营企业参与重大项目建设、平等使用科研基础设施和产业共性技术平台等长效机制，有效激发社会投资活力。</w:t>
      </w:r>
    </w:p>
    <w:p w14:paraId="6DD0BD95">
      <w:pPr>
        <w:keepNext w:val="0"/>
        <w:keepLines w:val="0"/>
        <w:pageBreakBefore w:val="0"/>
        <w:widowControl w:val="0"/>
        <w:kinsoku/>
        <w:wordWrap/>
        <w:overflowPunct w:val="0"/>
        <w:topLinePunct w:val="0"/>
        <w:autoSpaceDE w:val="0"/>
        <w:autoSpaceDN w:val="0"/>
        <w:bidi w:val="0"/>
        <w:adjustRightInd w:val="0"/>
        <w:snapToGrid/>
        <w:spacing w:before="160" w:beforeLines="50" w:after="64" w:afterLines="20" w:line="480" w:lineRule="auto"/>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136" w:name="_Toc216985898"/>
      <w:r>
        <w:rPr>
          <w:rFonts w:hint="default" w:ascii="Times New Roman" w:hAnsi="Times New Roman" w:eastAsia="方正小标宋简体" w:cs="Times New Roman"/>
          <w:b w:val="0"/>
          <w:bCs/>
          <w:sz w:val="32"/>
          <w:szCs w:val="32"/>
          <w:highlight w:val="none"/>
          <w:u w:val="none"/>
          <w:lang w:val="zh-CN"/>
        </w:rPr>
        <w:t xml:space="preserve">第十三章 </w:t>
      </w:r>
      <w:bookmarkStart w:id="137" w:name="_Hlk209349046"/>
      <w:bookmarkStart w:id="138" w:name="OLE_LINK4"/>
      <w:r>
        <w:rPr>
          <w:rFonts w:hint="default" w:ascii="Times New Roman" w:hAnsi="Times New Roman" w:eastAsia="方正小标宋简体" w:cs="Times New Roman"/>
          <w:b w:val="0"/>
          <w:bCs/>
          <w:sz w:val="32"/>
          <w:szCs w:val="32"/>
          <w:highlight w:val="none"/>
          <w:u w:val="none"/>
          <w:lang w:val="zh-CN"/>
        </w:rPr>
        <w:t>统筹推进发展和安全，全面建设平安郊区</w:t>
      </w:r>
      <w:bookmarkEnd w:id="136"/>
      <w:bookmarkEnd w:id="137"/>
    </w:p>
    <w:bookmarkEnd w:id="127"/>
    <w:bookmarkEnd w:id="128"/>
    <w:bookmarkEnd w:id="129"/>
    <w:bookmarkEnd w:id="130"/>
    <w:bookmarkEnd w:id="131"/>
    <w:bookmarkEnd w:id="132"/>
    <w:bookmarkEnd w:id="138"/>
    <w:p w14:paraId="7C05DBFC">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sz w:val="32"/>
          <w:highlight w:val="none"/>
          <w:u w:val="none"/>
        </w:rPr>
        <w:t>创新社会治理体制机制，不断提升综合治理能力，</w:t>
      </w:r>
      <w:r>
        <w:rPr>
          <w:rFonts w:hint="default" w:ascii="Times New Roman" w:hAnsi="Times New Roman" w:eastAsia="仿宋_GB2312" w:cs="Times New Roman"/>
          <w:color w:val="000000"/>
          <w:sz w:val="32"/>
          <w:szCs w:val="32"/>
          <w:highlight w:val="none"/>
          <w:u w:val="none"/>
        </w:rPr>
        <w:t>统筹抓好防风险、保安全、守底线各项工作，把安全发展贯穿全</w:t>
      </w:r>
      <w:r>
        <w:rPr>
          <w:rFonts w:hint="default" w:ascii="Times New Roman" w:hAnsi="Times New Roman" w:eastAsia="仿宋_GB2312" w:cs="Times New Roman"/>
          <w:color w:val="000000"/>
          <w:sz w:val="32"/>
          <w:szCs w:val="32"/>
          <w:highlight w:val="none"/>
          <w:u w:val="none"/>
          <w:lang w:val="en-US" w:eastAsia="zh-CN"/>
        </w:rPr>
        <w:t>区</w:t>
      </w:r>
      <w:r>
        <w:rPr>
          <w:rFonts w:hint="default" w:ascii="Times New Roman" w:hAnsi="Times New Roman" w:eastAsia="仿宋_GB2312" w:cs="Times New Roman"/>
          <w:color w:val="000000"/>
          <w:sz w:val="32"/>
          <w:szCs w:val="32"/>
          <w:highlight w:val="none"/>
          <w:u w:val="none"/>
        </w:rPr>
        <w:t>发展各领域和全过程</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color w:val="000000"/>
          <w:sz w:val="32"/>
          <w:szCs w:val="32"/>
          <w:highlight w:val="none"/>
          <w:u w:val="none"/>
        </w:rPr>
        <w:t>形成共建共治共享的社会治理新格局。</w:t>
      </w:r>
    </w:p>
    <w:p w14:paraId="07D55141">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39" w:name="_Toc216985899"/>
      <w:r>
        <w:rPr>
          <w:rFonts w:hint="default" w:ascii="Times New Roman" w:hAnsi="Times New Roman" w:eastAsia="黑体" w:cs="Times New Roman"/>
          <w:b w:val="0"/>
          <w:bCs w:val="0"/>
          <w:highlight w:val="none"/>
          <w:u w:val="none"/>
          <w:lang w:val="zh-CN"/>
        </w:rPr>
        <w:t>一、提升综合治理能力</w:t>
      </w:r>
      <w:bookmarkEnd w:id="139"/>
    </w:p>
    <w:p w14:paraId="1D9AE41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sz w:val="32"/>
          <w:highlight w:val="none"/>
          <w:u w:val="none"/>
        </w:rPr>
        <w:t>创新治理体制机制。</w:t>
      </w:r>
      <w:r>
        <w:rPr>
          <w:rFonts w:hint="default" w:ascii="Times New Roman" w:hAnsi="Times New Roman" w:eastAsia="仿宋_GB2312" w:cs="Times New Roman"/>
          <w:sz w:val="32"/>
          <w:highlight w:val="none"/>
          <w:u w:val="none"/>
        </w:rPr>
        <w:t>遵循社会治理规律，改进社会治理方式，坚持</w:t>
      </w:r>
      <w:r>
        <w:rPr>
          <w:rFonts w:hint="eastAsia" w:ascii="Times New Roman" w:hAnsi="Times New Roman" w:eastAsia="仿宋_GB2312" w:cs="Times New Roman"/>
          <w:sz w:val="32"/>
          <w:highlight w:val="none"/>
          <w:u w:val="none"/>
          <w:lang w:eastAsia="zh-CN"/>
        </w:rPr>
        <w:t>系统治理、依法治理、综合治理、源头治理</w:t>
      </w:r>
      <w:r>
        <w:rPr>
          <w:rFonts w:hint="default" w:ascii="Times New Roman" w:hAnsi="Times New Roman" w:eastAsia="仿宋_GB2312" w:cs="Times New Roman"/>
          <w:sz w:val="32"/>
          <w:highlight w:val="none"/>
          <w:u w:val="none"/>
        </w:rPr>
        <w:t>相协调。完善党委领导、政府主导、社会协同、公众参与、法治保障的社会治理体制。推进网格化管理、社会化服务，推行“一个核心、两个班子、三级平台、四支队伍、五项制度”的“12345”党建引领模式。坚持和发展新时代“枫桥经验”，充分发挥区、乡镇综治中心的积极作用，畅通和规范群众诉求表达、利益协调、权益保障通道，完善信访制度，推进信访工作法治化，充分运用信访工作联席会议机制，构建源头防控、排查梳理、矛盾化解、应急处置的社会矛盾纠纷排查化解机制。完善公共决策社会公示制度、公众听证制度、专家咨询论证制度，畅通网络公众参与渠道，引导群众理性合法表达利益诉求。</w:t>
      </w:r>
    </w:p>
    <w:p w14:paraId="5A2CDFAE">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Cs/>
          <w:sz w:val="32"/>
          <w:highlight w:val="none"/>
          <w:u w:val="none"/>
        </w:rPr>
      </w:pPr>
      <w:bookmarkStart w:id="140" w:name="_Toc55578682"/>
      <w:r>
        <w:rPr>
          <w:rFonts w:hint="default" w:ascii="Times New Roman" w:hAnsi="Times New Roman" w:eastAsia="仿宋_GB2312" w:cs="Times New Roman"/>
          <w:b/>
          <w:sz w:val="32"/>
          <w:highlight w:val="none"/>
          <w:u w:val="none"/>
        </w:rPr>
        <w:t>加快法治政府建设。</w:t>
      </w:r>
      <w:r>
        <w:rPr>
          <w:rFonts w:hint="default" w:ascii="Times New Roman" w:hAnsi="Times New Roman" w:eastAsia="仿宋_GB2312" w:cs="Times New Roman"/>
          <w:bCs/>
          <w:sz w:val="32"/>
          <w:highlight w:val="none"/>
          <w:u w:val="none"/>
        </w:rPr>
        <w:t>坚持党的领导、人民当家作主、依法治国有机统一。完善公共法律服务体制机制，全力维护司法公正和司法权威。健全依法决策机制，建立重大行政决策事项目录化管理制度，提高法律顾问在重大决策中的关键作用，发挥人大、政协、群团组织和社会组织在法治建设中的作用，把公众参与、专家论证、风险评估、廉洁性与合法性审查、公平性、集体讨论决定作为重大决策的必经程序。研究编制“九五”普法规则，实施“法律明白人、人民调解室、赋能基层依法治理”专项行动。进一步厘清政府和市场、政府和社会的关系，加快政府职能转变，推进治理能力现代化。充分发挥法律监督职能，高质效履行检察职责。</w:t>
      </w:r>
    </w:p>
    <w:p w14:paraId="6649E112">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sz w:val="32"/>
          <w:highlight w:val="none"/>
          <w:u w:val="none"/>
        </w:rPr>
        <w:t>推进基层居民自治</w:t>
      </w:r>
      <w:bookmarkEnd w:id="140"/>
      <w:r>
        <w:rPr>
          <w:rFonts w:hint="default" w:ascii="Times New Roman" w:hAnsi="Times New Roman" w:eastAsia="仿宋_GB2312" w:cs="Times New Roman"/>
          <w:b/>
          <w:sz w:val="32"/>
          <w:highlight w:val="none"/>
          <w:u w:val="none"/>
        </w:rPr>
        <w:t>。</w:t>
      </w:r>
      <w:r>
        <w:rPr>
          <w:rFonts w:hint="default" w:ascii="Times New Roman" w:hAnsi="Times New Roman" w:eastAsia="仿宋_GB2312" w:cs="Times New Roman"/>
          <w:sz w:val="32"/>
          <w:highlight w:val="none"/>
          <w:u w:val="none"/>
        </w:rPr>
        <w:t>增强社区服务功能，拓展社区服务领域，逐步完善社区便民利民、救助保障、医疗保健、社区安全、宣传教育、普法维权、文化娱乐、体育健身、环境保护和评议监督等十大服务功能。完善城市社区组织，健全社区管理服务体系，提高社区居委会管理服务能力，使社区组织成为协调民众利益、化解民众矛盾、保障安居乐业的有效载体。充实专业社工力量，为基层减负赋能。以“资源整合、优势互补、共驻共建”为宗旨，充分发挥“社区+物业+业主委员会+居民”四方合力作用，实行小区精细化共治。充分发挥社区居民的主体作用，参与环境整治、文明创建、综治巡察等各项精细化管理工作。推动社区党组织联建共建，建立“红色议事厅”，社区党组织牵头，联合物业、业委会、居民代表针对小区环境整治、设施改造、服务优化等民生议题共商共议。到2030年，社区服务基础设施覆盖率达到95%以上。</w:t>
      </w:r>
    </w:p>
    <w:p w14:paraId="10839A4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sz w:val="32"/>
          <w:highlight w:val="none"/>
          <w:u w:val="none"/>
        </w:rPr>
      </w:pPr>
      <w:bookmarkStart w:id="141" w:name="_Hlk205240325"/>
      <w:r>
        <w:rPr>
          <w:rFonts w:hint="default" w:ascii="Times New Roman" w:hAnsi="Times New Roman" w:eastAsia="仿宋_GB2312" w:cs="Times New Roman"/>
          <w:b/>
          <w:sz w:val="32"/>
          <w:highlight w:val="none"/>
          <w:u w:val="none"/>
        </w:rPr>
        <w:t>推动城乡社会治理一体化。</w:t>
      </w:r>
      <w:r>
        <w:rPr>
          <w:rFonts w:hint="default" w:ascii="Times New Roman" w:hAnsi="Times New Roman" w:eastAsia="仿宋_GB2312" w:cs="Times New Roman"/>
          <w:sz w:val="32"/>
          <w:highlight w:val="none"/>
          <w:u w:val="none"/>
        </w:rPr>
        <w:t>推动城乡社区治理和服务体系建设，实现城乡网格化治理体系向农村社区全覆盖，</w:t>
      </w:r>
      <w:bookmarkEnd w:id="141"/>
      <w:r>
        <w:rPr>
          <w:rFonts w:hint="default" w:ascii="Times New Roman" w:hAnsi="Times New Roman" w:eastAsia="仿宋_GB2312" w:cs="Times New Roman"/>
          <w:sz w:val="32"/>
          <w:highlight w:val="none"/>
          <w:u w:val="none"/>
        </w:rPr>
        <w:t>推进党建、公安、司法、民政、社保、环保等网格管理事务向农村社区下沉，引导区直机关、乡镇（街道）行政人员、党代表、人大代表、政协委员、执法队伍等下乡参与乡村治理。加大乡村治理市场化改革力度，建立服务外包模式，采取政府采购、特许经营、引入第三方运营等方式，吸引社会力量和社会资本参与乡村道路综合养护、环卫、绿化等管理，探索将养老助残、社工服务、心理疏导、社会救助、法律援助等项目纳入政府向社会组织购买服务范围。</w:t>
      </w:r>
    </w:p>
    <w:tbl>
      <w:tblPr>
        <w:tblStyle w:val="30"/>
        <w:tblW w:w="8426"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452"/>
        <w:gridCol w:w="6974"/>
      </w:tblGrid>
      <w:tr w14:paraId="6B6B5C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12" w:hRule="atLeast"/>
          <w:jc w:val="center"/>
        </w:trPr>
        <w:tc>
          <w:tcPr>
            <w:tcW w:w="8426" w:type="dxa"/>
            <w:gridSpan w:val="2"/>
            <w:tcBorders>
              <w:top w:val="single" w:color="auto" w:sz="12" w:space="0"/>
              <w:bottom w:val="single" w:color="auto" w:sz="4" w:space="0"/>
            </w:tcBorders>
            <w:vAlign w:val="center"/>
          </w:tcPr>
          <w:p w14:paraId="23C22DFF">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 xml:space="preserve"> 专栏29 社会治理体系重点工程</w:t>
            </w:r>
          </w:p>
        </w:tc>
      </w:tr>
      <w:tr w14:paraId="53DD889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2" w:hRule="atLeast"/>
          <w:jc w:val="center"/>
        </w:trPr>
        <w:tc>
          <w:tcPr>
            <w:tcW w:w="1452" w:type="dxa"/>
            <w:tcBorders>
              <w:top w:val="single" w:color="auto" w:sz="4" w:space="0"/>
              <w:right w:val="single" w:color="auto" w:sz="4" w:space="0"/>
            </w:tcBorders>
            <w:vAlign w:val="center"/>
          </w:tcPr>
          <w:p w14:paraId="10D474DA">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名称</w:t>
            </w:r>
          </w:p>
        </w:tc>
        <w:tc>
          <w:tcPr>
            <w:tcW w:w="6974" w:type="dxa"/>
            <w:tcBorders>
              <w:top w:val="single" w:color="auto" w:sz="4" w:space="0"/>
              <w:left w:val="single" w:color="auto" w:sz="4" w:space="0"/>
            </w:tcBorders>
            <w:vAlign w:val="center"/>
          </w:tcPr>
          <w:p w14:paraId="41938837">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重点工程项目</w:t>
            </w:r>
          </w:p>
        </w:tc>
      </w:tr>
      <w:tr w14:paraId="395372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050" w:hRule="atLeast"/>
          <w:jc w:val="center"/>
        </w:trPr>
        <w:tc>
          <w:tcPr>
            <w:tcW w:w="1452" w:type="dxa"/>
            <w:tcBorders>
              <w:right w:val="single" w:color="auto" w:sz="4" w:space="0"/>
            </w:tcBorders>
            <w:vAlign w:val="center"/>
          </w:tcPr>
          <w:p w14:paraId="74CDBDD4">
            <w:pPr>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城市网格化综合管理平台工程</w:t>
            </w:r>
          </w:p>
        </w:tc>
        <w:tc>
          <w:tcPr>
            <w:tcW w:w="6974" w:type="dxa"/>
            <w:tcBorders>
              <w:left w:val="single" w:color="auto" w:sz="4" w:space="0"/>
            </w:tcBorders>
            <w:vAlign w:val="center"/>
          </w:tcPr>
          <w:p w14:paraId="13F857F8">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建立健全区、街道（乡镇）、社区管理网络，科学划分网格单元，将城市管理、社会管理和公共服务事项纳入网格化管理。</w:t>
            </w:r>
          </w:p>
        </w:tc>
      </w:tr>
      <w:tr w14:paraId="5B7D96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4" w:hRule="atLeast"/>
          <w:jc w:val="center"/>
        </w:trPr>
        <w:tc>
          <w:tcPr>
            <w:tcW w:w="1452" w:type="dxa"/>
            <w:tcBorders>
              <w:bottom w:val="single" w:color="auto" w:sz="12" w:space="0"/>
              <w:right w:val="single" w:color="auto" w:sz="4" w:space="0"/>
            </w:tcBorders>
            <w:vAlign w:val="center"/>
          </w:tcPr>
          <w:p w14:paraId="515F550E">
            <w:pP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社会治安立体化防控体系建设工程</w:t>
            </w:r>
          </w:p>
        </w:tc>
        <w:tc>
          <w:tcPr>
            <w:tcW w:w="6974" w:type="dxa"/>
            <w:tcBorders>
              <w:left w:val="single" w:color="auto" w:sz="4" w:space="0"/>
              <w:bottom w:val="single" w:color="auto" w:sz="12" w:space="0"/>
            </w:tcBorders>
            <w:vAlign w:val="center"/>
          </w:tcPr>
          <w:p w14:paraId="514EEA41">
            <w:pPr>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构建社会面治安防控网、重点行业和重点人员治安防控网、乡镇（街道）和村（社区）治安防控网、机关企事业单位内部安全防控网以及信息网络防控网“五张网络”，积极整合社区（驻村）民警和群防群治力量、平安志愿者等人力资源，形成“点守、线巡、面控”的联动防控网络。</w:t>
            </w:r>
          </w:p>
        </w:tc>
      </w:tr>
      <w:bookmarkEnd w:id="133"/>
    </w:tbl>
    <w:p w14:paraId="17FD7F54">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42" w:name="_Toc216985900"/>
      <w:bookmarkStart w:id="143" w:name="_Toc60605040"/>
      <w:bookmarkStart w:id="144" w:name="_Toc55578079"/>
      <w:bookmarkStart w:id="145" w:name="_Toc55578690"/>
      <w:r>
        <w:rPr>
          <w:rFonts w:hint="default" w:ascii="Times New Roman" w:hAnsi="Times New Roman" w:eastAsia="黑体" w:cs="Times New Roman"/>
          <w:b w:val="0"/>
          <w:bCs w:val="0"/>
          <w:highlight w:val="none"/>
          <w:u w:val="none"/>
          <w:lang w:val="zh-CN"/>
        </w:rPr>
        <w:t>二、建设更高水平“平安郊区”</w:t>
      </w:r>
      <w:bookmarkEnd w:id="142"/>
      <w:bookmarkEnd w:id="143"/>
      <w:bookmarkEnd w:id="144"/>
      <w:bookmarkEnd w:id="145"/>
    </w:p>
    <w:p w14:paraId="1A36CAB1">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000000"/>
          <w:sz w:val="32"/>
          <w:szCs w:val="32"/>
          <w:highlight w:val="none"/>
          <w:u w:val="none"/>
        </w:rPr>
      </w:pPr>
      <w:bookmarkStart w:id="146" w:name="_Hlk205240436"/>
      <w:r>
        <w:rPr>
          <w:rFonts w:hint="default" w:ascii="Times New Roman" w:hAnsi="Times New Roman" w:eastAsia="仿宋_GB2312" w:cs="Times New Roman"/>
          <w:b/>
          <w:bCs/>
          <w:color w:val="000000"/>
          <w:sz w:val="32"/>
          <w:szCs w:val="32"/>
          <w:highlight w:val="none"/>
          <w:u w:val="none"/>
          <w:lang w:val="zh-CN"/>
        </w:rPr>
        <w:t>全面建设“平安郊区”</w:t>
      </w:r>
      <w:r>
        <w:rPr>
          <w:rFonts w:hint="default" w:ascii="Times New Roman" w:hAnsi="Times New Roman" w:eastAsia="仿宋_GB2312" w:cs="Times New Roman"/>
          <w:b/>
          <w:bCs/>
          <w:color w:val="000000"/>
          <w:sz w:val="32"/>
          <w:szCs w:val="32"/>
          <w:highlight w:val="none"/>
          <w:u w:val="none"/>
        </w:rPr>
        <w:t>。</w:t>
      </w:r>
      <w:r>
        <w:rPr>
          <w:rFonts w:hint="default" w:ascii="Times New Roman" w:hAnsi="Times New Roman" w:eastAsia="仿宋_GB2312" w:cs="Times New Roman"/>
          <w:color w:val="000000"/>
          <w:sz w:val="32"/>
          <w:szCs w:val="32"/>
          <w:highlight w:val="none"/>
          <w:u w:val="none"/>
        </w:rPr>
        <w:t>全面贯彻总体国家安全观</w:t>
      </w:r>
      <w:bookmarkEnd w:id="146"/>
      <w:r>
        <w:rPr>
          <w:rFonts w:hint="default" w:ascii="Times New Roman" w:hAnsi="Times New Roman" w:eastAsia="仿宋_GB2312" w:cs="Times New Roman"/>
          <w:color w:val="000000"/>
          <w:sz w:val="32"/>
          <w:szCs w:val="32"/>
          <w:highlight w:val="none"/>
          <w:u w:val="none"/>
        </w:rPr>
        <w:t>，统筹发展和安全，把保护人民生命安全摆在首位，</w:t>
      </w:r>
      <w:bookmarkStart w:id="147" w:name="_Hlk205240454"/>
      <w:r>
        <w:rPr>
          <w:rFonts w:hint="default" w:ascii="Times New Roman" w:hAnsi="Times New Roman" w:eastAsia="仿宋_GB2312" w:cs="Times New Roman"/>
          <w:color w:val="000000"/>
          <w:sz w:val="32"/>
          <w:szCs w:val="32"/>
          <w:highlight w:val="none"/>
          <w:u w:val="none"/>
        </w:rPr>
        <w:t>把安全贯穿郊区发展各领域全过程</w:t>
      </w:r>
      <w:bookmarkEnd w:id="147"/>
      <w:r>
        <w:rPr>
          <w:rFonts w:hint="default" w:ascii="Times New Roman" w:hAnsi="Times New Roman" w:eastAsia="仿宋_GB2312" w:cs="Times New Roman"/>
          <w:color w:val="000000"/>
          <w:sz w:val="32"/>
          <w:szCs w:val="32"/>
          <w:highlight w:val="none"/>
          <w:u w:val="none"/>
        </w:rPr>
        <w:t>。狠抓危险化学品安全整治、非煤矿山安全整治、消防安全整治、道路交通安全整治、城镇燃气等领域安全管理。建立完善与省市互联互通的应急救援和安全生产信息化体系。加强社会治安综合治理，严密防范打击各类违法犯罪活动，积极营造安定祥和的社会环境。</w:t>
      </w:r>
      <w:bookmarkStart w:id="148" w:name="_Hlk205240470"/>
    </w:p>
    <w:p w14:paraId="534D1C5D">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color w:val="000000"/>
          <w:sz w:val="32"/>
          <w:szCs w:val="32"/>
          <w:highlight w:val="none"/>
          <w:u w:val="none"/>
        </w:rPr>
        <w:t>健全防灾减灾救灾体制机制。</w:t>
      </w:r>
      <w:r>
        <w:rPr>
          <w:rFonts w:hint="default" w:ascii="Times New Roman" w:hAnsi="Times New Roman" w:eastAsia="仿宋_GB2312" w:cs="Times New Roman"/>
          <w:sz w:val="32"/>
          <w:szCs w:val="32"/>
          <w:highlight w:val="none"/>
          <w:u w:val="none"/>
        </w:rPr>
        <w:t>加快</w:t>
      </w:r>
      <w:r>
        <w:rPr>
          <w:rFonts w:hint="default" w:ascii="Times New Roman" w:hAnsi="Times New Roman" w:eastAsia="仿宋_GB2312" w:cs="Times New Roman"/>
          <w:bCs/>
          <w:sz w:val="32"/>
          <w:szCs w:val="32"/>
          <w:highlight w:val="none"/>
          <w:u w:val="none"/>
        </w:rPr>
        <w:t>建设韧性城区，</w:t>
      </w:r>
      <w:r>
        <w:rPr>
          <w:rFonts w:hint="default" w:ascii="Times New Roman" w:hAnsi="Times New Roman" w:eastAsia="仿宋_GB2312" w:cs="Times New Roman"/>
          <w:sz w:val="32"/>
          <w:szCs w:val="32"/>
          <w:highlight w:val="none"/>
          <w:u w:val="none"/>
        </w:rPr>
        <w:t>提高处置突发公共事件能力，</w:t>
      </w:r>
      <w:bookmarkEnd w:id="148"/>
      <w:r>
        <w:rPr>
          <w:rFonts w:hint="default" w:ascii="Times New Roman" w:hAnsi="Times New Roman" w:eastAsia="仿宋_GB2312" w:cs="Times New Roman"/>
          <w:sz w:val="32"/>
          <w:szCs w:val="32"/>
          <w:highlight w:val="none"/>
          <w:u w:val="none"/>
        </w:rPr>
        <w:t>最大程度地预防和减少突发事件及自然灾害造成的损害。以区应急指挥部平台为依托，形成科学的应急管理信息化体系，协调和指挥安全生产类、自然灾害类等突发事件预警和救援工作。按照“全灾种”“大应急”的建设理念，健全应急物资储备体系，全面提升全社会抵御突发事件和自然灾害的综合防范能力。</w:t>
      </w:r>
      <w:r>
        <w:rPr>
          <w:rFonts w:hint="default" w:ascii="Times New Roman" w:hAnsi="Times New Roman" w:eastAsia="仿宋_GB2312" w:cs="Times New Roman"/>
          <w:color w:val="000000"/>
          <w:sz w:val="32"/>
          <w:szCs w:val="32"/>
          <w:highlight w:val="none"/>
          <w:u w:val="none"/>
        </w:rPr>
        <w:t>提高重大农业灾害预警处置能力，健全农业应急管理保障体系。完善沿江防洪堤坝工程建设，推动防洪工程一体化。完善消防救援体系，加强消防队伍、微型消防站建设，提升公共消防设施保障能力。</w:t>
      </w:r>
      <w:r>
        <w:rPr>
          <w:rFonts w:hint="default" w:ascii="Times New Roman" w:hAnsi="Times New Roman" w:eastAsia="仿宋_GB2312" w:cs="Times New Roman"/>
          <w:color w:val="000000"/>
          <w:sz w:val="32"/>
          <w:szCs w:val="32"/>
          <w:highlight w:val="none"/>
          <w:u w:val="none"/>
          <w:lang w:val="en-US" w:eastAsia="zh-CN"/>
        </w:rPr>
        <w:t>积极发展</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kern w:val="2"/>
          <w:sz w:val="32"/>
          <w:szCs w:val="32"/>
          <w:highlight w:val="none"/>
          <w:u w:val="none"/>
          <w:lang w:val="en-US" w:eastAsia="zh-CN" w:bidi="ar-SA"/>
        </w:rPr>
        <w:t>智慧消防</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kern w:val="2"/>
          <w:sz w:val="32"/>
          <w:szCs w:val="32"/>
          <w:highlight w:val="none"/>
          <w:u w:val="none"/>
          <w:lang w:val="en-US" w:eastAsia="zh-CN" w:bidi="ar-SA"/>
        </w:rPr>
        <w:t>构建“隐患自动报警、平台精准派单、网格快速处置”的智慧防控链条。</w:t>
      </w:r>
      <w:r>
        <w:rPr>
          <w:rFonts w:hint="default" w:ascii="Times New Roman" w:hAnsi="Times New Roman" w:eastAsia="仿宋_GB2312" w:cs="Times New Roman"/>
          <w:color w:val="000000"/>
          <w:sz w:val="32"/>
          <w:szCs w:val="32"/>
          <w:highlight w:val="none"/>
          <w:u w:val="none"/>
        </w:rPr>
        <w:t>加强交通、通信、电力、排水管网等基础设施的防灾能力建设。加强粮食安全保障，将粮食加工企业纳入粮食应急保障体系，合理布局点位，按照“平时自营、急时应急”原则，确保突发应急事件粮食供应。保持森林草原防灭火高压态势，充分发挥各网格作用，实现“空、地、人”织成一张网，严防一般火灾发生，坚决杜绝重特大火灾发生。2030年，全区信息化发展水平和综合救援能力达到市内领先水平。</w:t>
      </w:r>
    </w:p>
    <w:p w14:paraId="71468EE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sz w:val="32"/>
          <w:szCs w:val="32"/>
          <w:highlight w:val="none"/>
          <w:u w:val="none"/>
        </w:rPr>
        <w:t>全力筑牢公共安全防线。</w:t>
      </w:r>
      <w:r>
        <w:rPr>
          <w:rFonts w:hint="default" w:ascii="Times New Roman" w:hAnsi="Times New Roman" w:eastAsia="仿宋_GB2312" w:cs="Times New Roman"/>
          <w:sz w:val="32"/>
          <w:szCs w:val="32"/>
          <w:highlight w:val="none"/>
          <w:u w:val="none"/>
        </w:rPr>
        <w:t>健全并落实全过程安全管理、安全隐患排查、安全生产检查、安全教育宣传“四项制度”，坚决遏制重特大事故发生。</w:t>
      </w:r>
      <w:r>
        <w:rPr>
          <w:rFonts w:hint="default" w:ascii="Times New Roman" w:hAnsi="Times New Roman" w:eastAsia="仿宋_GB2312" w:cs="Times New Roman"/>
          <w:color w:val="000000"/>
          <w:sz w:val="32"/>
          <w:szCs w:val="32"/>
          <w:highlight w:val="none"/>
          <w:u w:val="none"/>
        </w:rPr>
        <w:t>加强生态安全防控和监测。进一步完善疾控体系，建立健全院前急救体系，加强重大疫情防控救治体系建设，提升突发公共卫生事件应急处置能力。加强农产品食品质量安全监管，完善农产品产地准出和市场准入制度，全面试行食用农产品合格证制度。建立从地头到餐桌的全过程风险管理制度，加快食品安全电子追溯体系和追溯系统建设，确保城区80%以上农贸市场建成</w:t>
      </w:r>
      <w:r>
        <w:rPr>
          <w:rFonts w:hint="default" w:ascii="Times New Roman" w:hAnsi="Times New Roman" w:eastAsia="仿宋_GB2312" w:cs="Times New Roman"/>
          <w:color w:val="000000"/>
          <w:sz w:val="32"/>
          <w:szCs w:val="32"/>
          <w:highlight w:val="none"/>
          <w:u w:val="none"/>
          <w:lang w:eastAsia="zh-CN"/>
        </w:rPr>
        <w:t>食用</w:t>
      </w:r>
      <w:r>
        <w:rPr>
          <w:rFonts w:hint="default" w:ascii="Times New Roman" w:hAnsi="Times New Roman" w:eastAsia="仿宋_GB2312" w:cs="Times New Roman"/>
          <w:color w:val="000000"/>
          <w:sz w:val="32"/>
          <w:szCs w:val="32"/>
          <w:highlight w:val="none"/>
          <w:u w:val="none"/>
        </w:rPr>
        <w:t>农产品追溯体系。</w:t>
      </w:r>
    </w:p>
    <w:p w14:paraId="40E00286">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维护社会大局和谐稳定。</w:t>
      </w:r>
      <w:r>
        <w:rPr>
          <w:rFonts w:hint="default" w:ascii="Times New Roman" w:hAnsi="Times New Roman" w:eastAsia="仿宋_GB2312" w:cs="Times New Roman"/>
          <w:sz w:val="32"/>
          <w:szCs w:val="32"/>
          <w:highlight w:val="none"/>
          <w:u w:val="none"/>
        </w:rPr>
        <w:t>推动社会治理和服务重心下移、资源下沉，深化网格化管理、精细化服务、信息化联通，全面推进诉调、警调、访调等对接机制，提高社会治理的协同性、精准性、高效性。</w:t>
      </w:r>
      <w:r>
        <w:rPr>
          <w:rFonts w:hint="default" w:ascii="Times New Roman" w:hAnsi="Times New Roman" w:eastAsia="仿宋_GB2312" w:cs="Times New Roman"/>
          <w:color w:val="000000"/>
          <w:sz w:val="32"/>
          <w:szCs w:val="32"/>
          <w:highlight w:val="none"/>
          <w:u w:val="none"/>
        </w:rPr>
        <w:t>完善立体化社会治安防控体系，以信息化引领治安防控，全面提升公安机关立体防控、快速处置、精准打击和便捷服务能力</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推进智慧警务、智慧公安、智慧法院、智慧检务建设。强化重点人群管理，坚持监督管理、教育引导和社会适应性帮扶“三位一体”，助力社会稳定和谐。加大禁毒工作力度，坚决打击毒品犯罪行为。常态化开展扫黑除恶斗争。</w:t>
      </w:r>
      <w:r>
        <w:rPr>
          <w:rFonts w:hint="default" w:ascii="Times New Roman" w:hAnsi="Times New Roman" w:eastAsia="仿宋_GB2312" w:cs="Times New Roman"/>
          <w:sz w:val="32"/>
          <w:szCs w:val="32"/>
          <w:highlight w:val="none"/>
          <w:u w:val="none"/>
        </w:rPr>
        <w:t>到“十五五”末，建立“一站式”矛盾纠纷化解中心并发挥效能，社会矛盾纠纷化解率达到98%以上。</w:t>
      </w:r>
    </w:p>
    <w:p w14:paraId="4D13C53F">
      <w:pPr>
        <w:keepNext w:val="0"/>
        <w:keepLines w:val="0"/>
        <w:pageBreakBefore w:val="0"/>
        <w:widowControl w:val="0"/>
        <w:kinsoku/>
        <w:wordWrap/>
        <w:overflowPunct w:val="0"/>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sz w:val="32"/>
          <w:highlight w:val="none"/>
          <w:u w:val="none"/>
        </w:rPr>
      </w:pPr>
      <w:r>
        <w:rPr>
          <w:rFonts w:hint="default" w:ascii="Times New Roman" w:hAnsi="Times New Roman" w:eastAsia="仿宋_GB2312" w:cs="Times New Roman"/>
          <w:b/>
          <w:bCs/>
          <w:sz w:val="32"/>
          <w:highlight w:val="none"/>
          <w:u w:val="none"/>
        </w:rPr>
        <w:t>加强国家安全人民防线建设。</w:t>
      </w:r>
      <w:r>
        <w:rPr>
          <w:rFonts w:hint="default" w:ascii="Times New Roman" w:hAnsi="Times New Roman" w:eastAsia="仿宋_GB2312" w:cs="Times New Roman"/>
          <w:sz w:val="32"/>
          <w:szCs w:val="32"/>
          <w:highlight w:val="none"/>
          <w:u w:val="none"/>
        </w:rPr>
        <w:t>深化全民国家安全教育，深化国家安全教育进校园</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进社区，支持各地学校就近挂钩爱国主义教育基地，实现国家安全教育的常态化全覆盖。</w:t>
      </w:r>
      <w:r>
        <w:rPr>
          <w:rFonts w:hint="default" w:ascii="Times New Roman" w:hAnsi="Times New Roman" w:eastAsia="仿宋_GB2312" w:cs="Times New Roman"/>
          <w:color w:val="000000"/>
          <w:sz w:val="32"/>
          <w:szCs w:val="32"/>
          <w:highlight w:val="none"/>
          <w:u w:val="none"/>
        </w:rPr>
        <w:t>积极引导宗教信仰与习近平新时代中国特色社会主义思想相适应，坚决遏制邪教和非法宗教活动。提高涉密信息系统的建设水平和防范能力，完成涉密工作电脑设备国产化升级改造，维护国家秘密、工作秘密、商业秘密和个人隐私安全。</w:t>
      </w:r>
      <w:r>
        <w:rPr>
          <w:rFonts w:hint="default" w:ascii="Times New Roman" w:hAnsi="Times New Roman" w:eastAsia="仿宋_GB2312" w:cs="Times New Roman"/>
          <w:sz w:val="32"/>
          <w:highlight w:val="none"/>
          <w:u w:val="none"/>
        </w:rPr>
        <w:t>增强干部群众识别大是大非、抵御国内外敌对势力思想渗透的能力，主动开展网络舆论战。加强国防动员能力建设，将国防动员融入地方发展大局，做好新时代人民武装工作，持续完善双拥共建工作机制。</w:t>
      </w:r>
    </w:p>
    <w:tbl>
      <w:tblPr>
        <w:tblStyle w:val="30"/>
        <w:tblW w:w="88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7192"/>
      </w:tblGrid>
      <w:tr w14:paraId="584E4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854" w:type="dxa"/>
            <w:gridSpan w:val="2"/>
            <w:vAlign w:val="center"/>
          </w:tcPr>
          <w:p w14:paraId="0A82D5BC">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专栏30 “平安郊区”建设工程</w:t>
            </w:r>
          </w:p>
        </w:tc>
      </w:tr>
      <w:tr w14:paraId="0D8E3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662" w:type="dxa"/>
            <w:vAlign w:val="center"/>
          </w:tcPr>
          <w:p w14:paraId="4E904CA9">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建设领域</w:t>
            </w:r>
          </w:p>
        </w:tc>
        <w:tc>
          <w:tcPr>
            <w:tcW w:w="7192" w:type="dxa"/>
            <w:vAlign w:val="center"/>
          </w:tcPr>
          <w:p w14:paraId="10D9C604">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重点内容</w:t>
            </w:r>
          </w:p>
        </w:tc>
      </w:tr>
      <w:tr w14:paraId="4A948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662" w:type="dxa"/>
            <w:vAlign w:val="center"/>
          </w:tcPr>
          <w:p w14:paraId="24550FB0">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防灾减灾</w:t>
            </w:r>
          </w:p>
        </w:tc>
        <w:tc>
          <w:tcPr>
            <w:tcW w:w="7192" w:type="dxa"/>
          </w:tcPr>
          <w:p w14:paraId="6E47910D">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完善综合监测预警机制，加强三防应急体系建设；建立健全灾害救助平台，完善自然灾害应急救护体系。</w:t>
            </w:r>
          </w:p>
        </w:tc>
      </w:tr>
      <w:tr w14:paraId="0F452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662" w:type="dxa"/>
            <w:vAlign w:val="center"/>
          </w:tcPr>
          <w:p w14:paraId="405E1493">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应急救援</w:t>
            </w:r>
          </w:p>
        </w:tc>
        <w:tc>
          <w:tcPr>
            <w:tcW w:w="7192" w:type="dxa"/>
          </w:tcPr>
          <w:p w14:paraId="74482876">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健全应急管理组织体系，加强应急指挥体系建设；完善应急预案体系并强化应急演练。推进应急系统建设，不断增强应急实战能力；推进应急避难场所建设，完善应急物资保障系统，重点建设郊区防灾减灾救灾物资储备库项目。</w:t>
            </w:r>
          </w:p>
        </w:tc>
      </w:tr>
      <w:tr w14:paraId="38413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662" w:type="dxa"/>
            <w:vAlign w:val="center"/>
          </w:tcPr>
          <w:p w14:paraId="6B0E59ED">
            <w:pPr>
              <w:spacing w:line="320" w:lineRule="exact"/>
              <w:jc w:val="center"/>
              <w:rPr>
                <w:rFonts w:hint="default" w:ascii="Times New Roman" w:hAnsi="Times New Roman" w:eastAsia="宋体" w:cs="Times New Roman"/>
                <w:b/>
                <w:bCs/>
                <w:color w:val="000000"/>
                <w:sz w:val="24"/>
                <w:szCs w:val="24"/>
                <w:highlight w:val="none"/>
                <w:u w:val="none"/>
              </w:rPr>
            </w:pPr>
            <w:r>
              <w:rPr>
                <w:rFonts w:hint="default" w:ascii="Times New Roman" w:hAnsi="Times New Roman" w:eastAsia="宋体" w:cs="Times New Roman"/>
                <w:b/>
                <w:bCs/>
                <w:color w:val="000000"/>
                <w:sz w:val="24"/>
                <w:szCs w:val="24"/>
                <w:highlight w:val="none"/>
                <w:u w:val="none"/>
              </w:rPr>
              <w:t>消防安全</w:t>
            </w:r>
          </w:p>
        </w:tc>
        <w:tc>
          <w:tcPr>
            <w:tcW w:w="7192" w:type="dxa"/>
            <w:vAlign w:val="center"/>
          </w:tcPr>
          <w:p w14:paraId="2FBD6F97">
            <w:pPr>
              <w:spacing w:line="320" w:lineRule="exact"/>
              <w:jc w:val="left"/>
              <w:rPr>
                <w:rFonts w:hint="default" w:ascii="Times New Roman" w:hAnsi="Times New Roman" w:eastAsia="宋体" w:cs="Times New Roman"/>
                <w:color w:val="000000"/>
                <w:sz w:val="24"/>
                <w:szCs w:val="24"/>
                <w:highlight w:val="none"/>
                <w:u w:val="none"/>
              </w:rPr>
            </w:pPr>
            <w:r>
              <w:rPr>
                <w:rFonts w:hint="default" w:ascii="Times New Roman" w:hAnsi="Times New Roman" w:eastAsia="宋体" w:cs="Times New Roman"/>
                <w:color w:val="000000"/>
                <w:sz w:val="24"/>
                <w:szCs w:val="24"/>
                <w:highlight w:val="none"/>
                <w:u w:val="none"/>
              </w:rPr>
              <w:t>健全指挥体系，加强突发事件处置能力，完善应急预案体系并强化应急演练，不断增强应急救援与扑火队实战能力，加强信息发布、舆情引导和消防宣传等工作；推进佳木斯市郊区地上消火栓建设项目。</w:t>
            </w:r>
          </w:p>
        </w:tc>
      </w:tr>
    </w:tbl>
    <w:p w14:paraId="57D5C39C">
      <w:pPr>
        <w:keepNext w:val="0"/>
        <w:keepLines w:val="0"/>
        <w:pageBreakBefore w:val="0"/>
        <w:widowControl w:val="0"/>
        <w:kinsoku/>
        <w:wordWrap/>
        <w:overflowPunct w:val="0"/>
        <w:topLinePunct w:val="0"/>
        <w:autoSpaceDE w:val="0"/>
        <w:autoSpaceDN w:val="0"/>
        <w:bidi w:val="0"/>
        <w:adjustRightInd w:val="0"/>
        <w:snapToGrid/>
        <w:spacing w:before="160" w:beforeLines="50" w:line="600" w:lineRule="exact"/>
        <w:jc w:val="center"/>
        <w:textAlignment w:val="auto"/>
        <w:outlineLvl w:val="0"/>
        <w:rPr>
          <w:rFonts w:hint="default" w:ascii="Times New Roman" w:hAnsi="Times New Roman" w:eastAsia="方正小标宋简体" w:cs="Times New Roman"/>
          <w:b w:val="0"/>
          <w:bCs/>
          <w:sz w:val="32"/>
          <w:szCs w:val="32"/>
          <w:highlight w:val="none"/>
          <w:u w:val="none"/>
          <w:lang w:val="zh-CN"/>
        </w:rPr>
      </w:pPr>
      <w:bookmarkStart w:id="149" w:name="_Toc439838593"/>
      <w:bookmarkStart w:id="150" w:name="_Toc216985901"/>
      <w:r>
        <w:rPr>
          <w:rFonts w:hint="default" w:ascii="Times New Roman" w:hAnsi="Times New Roman" w:eastAsia="方正小标宋简体" w:cs="Times New Roman"/>
          <w:b w:val="0"/>
          <w:bCs/>
          <w:sz w:val="32"/>
          <w:szCs w:val="32"/>
          <w:highlight w:val="none"/>
          <w:u w:val="none"/>
          <w:lang w:val="zh-CN"/>
        </w:rPr>
        <w:t>第十四章 强化实施保障</w:t>
      </w:r>
      <w:bookmarkEnd w:id="149"/>
      <w:r>
        <w:rPr>
          <w:rFonts w:hint="default" w:ascii="Times New Roman" w:hAnsi="Times New Roman" w:eastAsia="方正小标宋简体" w:cs="Times New Roman"/>
          <w:b w:val="0"/>
          <w:bCs/>
          <w:sz w:val="32"/>
          <w:szCs w:val="32"/>
          <w:highlight w:val="none"/>
          <w:u w:val="none"/>
          <w:lang w:val="zh-CN"/>
        </w:rPr>
        <w:t>，</w:t>
      </w:r>
    </w:p>
    <w:p w14:paraId="5F9041E2">
      <w:pPr>
        <w:keepNext w:val="0"/>
        <w:keepLines w:val="0"/>
        <w:pageBreakBefore w:val="0"/>
        <w:widowControl w:val="0"/>
        <w:kinsoku/>
        <w:wordWrap/>
        <w:overflowPunct w:val="0"/>
        <w:topLinePunct w:val="0"/>
        <w:autoSpaceDE w:val="0"/>
        <w:autoSpaceDN w:val="0"/>
        <w:bidi w:val="0"/>
        <w:adjustRightInd w:val="0"/>
        <w:snapToGrid/>
        <w:spacing w:after="160" w:afterLines="50" w:line="600" w:lineRule="exact"/>
        <w:jc w:val="center"/>
        <w:textAlignment w:val="auto"/>
        <w:outlineLvl w:val="0"/>
        <w:rPr>
          <w:rFonts w:hint="default" w:ascii="Times New Roman" w:hAnsi="Times New Roman" w:eastAsia="方正小标宋简体" w:cs="Times New Roman"/>
          <w:b w:val="0"/>
          <w:bCs/>
          <w:sz w:val="32"/>
          <w:szCs w:val="32"/>
          <w:highlight w:val="none"/>
          <w:u w:val="none"/>
          <w:lang w:val="zh-CN"/>
        </w:rPr>
      </w:pPr>
      <w:r>
        <w:rPr>
          <w:rFonts w:hint="default" w:ascii="Times New Roman" w:hAnsi="Times New Roman" w:eastAsia="方正小标宋简体" w:cs="Times New Roman"/>
          <w:b w:val="0"/>
          <w:bCs/>
          <w:sz w:val="32"/>
          <w:szCs w:val="32"/>
          <w:highlight w:val="none"/>
          <w:u w:val="none"/>
          <w:lang w:val="zh-CN"/>
        </w:rPr>
        <w:t>为实现社会主义现代化奠定坚实基础</w:t>
      </w:r>
      <w:bookmarkEnd w:id="150"/>
    </w:p>
    <w:p w14:paraId="4E0F21E5">
      <w:pPr>
        <w:keepNext w:val="0"/>
        <w:keepLines w:val="0"/>
        <w:pageBreakBefore w:val="0"/>
        <w:widowControl w:val="0"/>
        <w:kinsoku/>
        <w:wordWrap/>
        <w:overflowPunct w:val="0"/>
        <w:topLinePunct w:val="0"/>
        <w:autoSpaceDE w:val="0"/>
        <w:autoSpaceDN w:val="0"/>
        <w:bidi w:val="0"/>
        <w:spacing w:line="58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保障“十五五”规划的有效实施，要始终坚持党的领导，深入贯彻落实中央、省委和市委各项部署，更</w:t>
      </w:r>
      <w:r>
        <w:rPr>
          <w:rFonts w:hint="eastAsia" w:ascii="Times New Roman" w:hAnsi="Times New Roman" w:eastAsia="仿宋_GB2312" w:cs="Times New Roman"/>
          <w:sz w:val="32"/>
          <w:szCs w:val="32"/>
          <w:highlight w:val="none"/>
          <w:u w:val="none"/>
          <w:lang w:eastAsia="zh-CN"/>
        </w:rPr>
        <w:t>好地</w:t>
      </w:r>
      <w:r>
        <w:rPr>
          <w:rFonts w:hint="default" w:ascii="Times New Roman" w:hAnsi="Times New Roman" w:eastAsia="仿宋_GB2312" w:cs="Times New Roman"/>
          <w:sz w:val="32"/>
          <w:szCs w:val="32"/>
          <w:highlight w:val="none"/>
          <w:u w:val="none"/>
        </w:rPr>
        <w:t>履行政府职责，强化项目支撑、要素保障和机制创新，努力将宏伟蓝图转化为美好现实。</w:t>
      </w:r>
    </w:p>
    <w:p w14:paraId="7B36F4BF">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51" w:name="_Toc216985902"/>
      <w:r>
        <w:rPr>
          <w:rFonts w:hint="default" w:ascii="Times New Roman" w:hAnsi="Times New Roman" w:eastAsia="黑体" w:cs="Times New Roman"/>
          <w:b w:val="0"/>
          <w:bCs w:val="0"/>
          <w:highlight w:val="none"/>
          <w:u w:val="none"/>
          <w:lang w:val="zh-CN"/>
        </w:rPr>
        <w:t>一、坚持和加强党的全面领导</w:t>
      </w:r>
      <w:bookmarkEnd w:id="151"/>
    </w:p>
    <w:p w14:paraId="296DFEC6">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color w:val="C00000"/>
          <w:sz w:val="32"/>
          <w:szCs w:val="32"/>
          <w:highlight w:val="none"/>
          <w:u w:val="none"/>
        </w:rPr>
      </w:pPr>
      <w:r>
        <w:rPr>
          <w:rFonts w:hint="default" w:ascii="Times New Roman" w:hAnsi="Times New Roman" w:eastAsia="仿宋_GB2312" w:cs="Times New Roman"/>
          <w:b/>
          <w:bCs/>
          <w:sz w:val="32"/>
          <w:szCs w:val="32"/>
          <w:highlight w:val="none"/>
          <w:u w:val="none"/>
        </w:rPr>
        <w:t>坚持和加强党中央集中统一领导。</w:t>
      </w:r>
      <w:r>
        <w:rPr>
          <w:rFonts w:hint="default" w:ascii="Times New Roman" w:hAnsi="Times New Roman" w:eastAsia="仿宋_GB2312" w:cs="Times New Roman"/>
          <w:sz w:val="32"/>
          <w:szCs w:val="32"/>
          <w:highlight w:val="none"/>
          <w:u w:val="none"/>
        </w:rPr>
        <w:t>贯彻党把方向、谋大局、定政策、促改革的要求，</w:t>
      </w:r>
      <w:r>
        <w:rPr>
          <w:rFonts w:hint="default" w:ascii="Times New Roman" w:hAnsi="Times New Roman" w:eastAsia="仿宋_GB2312" w:cs="Times New Roman"/>
          <w:sz w:val="32"/>
          <w:szCs w:val="32"/>
          <w:highlight w:val="none"/>
          <w:u w:val="none"/>
          <w:lang w:eastAsia="zh-CN"/>
        </w:rPr>
        <w:t>增强“四个意识”、坚定“四个自信”、</w:t>
      </w:r>
      <w:r>
        <w:rPr>
          <w:rFonts w:hint="eastAsia" w:ascii="Times New Roman" w:hAnsi="Times New Roman" w:eastAsia="仿宋_GB2312" w:cs="Times New Roman"/>
          <w:sz w:val="32"/>
          <w:szCs w:val="32"/>
          <w:highlight w:val="none"/>
          <w:u w:val="none"/>
          <w:lang w:eastAsia="zh-CN"/>
        </w:rPr>
        <w:t>坚决做到“两个维护”</w:t>
      </w:r>
      <w:r>
        <w:rPr>
          <w:rFonts w:hint="default" w:ascii="Times New Roman" w:hAnsi="Times New Roman" w:eastAsia="仿宋_GB2312" w:cs="Times New Roman"/>
          <w:sz w:val="32"/>
          <w:szCs w:val="32"/>
          <w:highlight w:val="none"/>
          <w:u w:val="none"/>
        </w:rPr>
        <w:t>，自觉在思想上政治上行动上同以习近平同志为核心的党中央保持高度一致，把党的领导落实到统筹推进“五位一体”总体布局</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协调推进“四个全面”战略布局</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rPr>
        <w:t>抓好党的基层组织建设。注重培养选拔政治强、懂专业、善治理、敢担当、作风正的领导干部。完善区委重大决策部署落实机制，确保上下贯通、执行有力。以提升组织力为重点，突出政治功能，聚焦农村、城市、机关等多领域，持续健全基层党组织体系，加强党建引领基层治理。到2030年，全面构建起覆盖城乡全域、贯通各行业各领域的基层党建新格局。</w:t>
      </w:r>
    </w:p>
    <w:p w14:paraId="24D77934">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lang w:val="zh-CN"/>
        </w:rPr>
        <w:t>推进全面从严</w:t>
      </w:r>
      <w:r>
        <w:rPr>
          <w:rFonts w:hint="default" w:ascii="Times New Roman" w:hAnsi="Times New Roman" w:eastAsia="仿宋_GB2312" w:cs="Times New Roman"/>
          <w:b/>
          <w:bCs/>
          <w:sz w:val="32"/>
          <w:szCs w:val="32"/>
          <w:highlight w:val="none"/>
          <w:u w:val="none"/>
        </w:rPr>
        <w:t>治</w:t>
      </w:r>
      <w:r>
        <w:rPr>
          <w:rFonts w:hint="default" w:ascii="Times New Roman" w:hAnsi="Times New Roman" w:eastAsia="仿宋_GB2312" w:cs="Times New Roman"/>
          <w:b/>
          <w:bCs/>
          <w:sz w:val="32"/>
          <w:szCs w:val="32"/>
          <w:highlight w:val="none"/>
          <w:u w:val="none"/>
          <w:lang w:val="zh-CN"/>
        </w:rPr>
        <w:t>党。</w:t>
      </w:r>
      <w:r>
        <w:rPr>
          <w:rFonts w:hint="default" w:ascii="Times New Roman" w:hAnsi="Times New Roman" w:eastAsia="仿宋_GB2312" w:cs="Times New Roman"/>
          <w:sz w:val="32"/>
          <w:szCs w:val="32"/>
          <w:highlight w:val="none"/>
          <w:u w:val="none"/>
        </w:rPr>
        <w:t>坚持全面从严治党、依规治党，统筹推进党内制度建设，深化党的建设制度改革。贯彻落实中央八项规定及其实施细则精神和省委九项规定，防止和纠治形式主义、官僚主义。坚持和完善监督体系，强化对权力运行的制约和监督，一体推进不敢腐、不能腐、不想腐体制机制。持续整顿软弱涣散基层党组织，严格党的组织生活制度。加强党的各级组织建设，强化基层党组织整体功能。完善担当作为激励机制，健全容错纠错机制。强化教育培训和实践锻炼，将学习贯彻习近平新时代中国特色社会主义思想作为主题主线，结合经济社会发展需求合理设置培训内容，全面提高干部队伍适应现代化建设的能力本领。坚持正确选人用人导向，把政治标准放在首位，深化干部政治素质考察，推进领导干部能上能下常态化。优化领导班子功能结构，完善老中青梯次配备，统筹用好女干部、少数民族干部和党外干部。强化考核结果运用，将考核结果与任用、奖惩挂钩，突出在重大任务、攻坚一线中识别和使用干部，树立重实干、重实绩的鲜明导向。持续深化整治形式主义为基层减负，为基层干部干事创业创造良好条件。</w:t>
      </w:r>
    </w:p>
    <w:p w14:paraId="67BD87FE">
      <w:pPr>
        <w:keepNext w:val="0"/>
        <w:keepLines w:val="0"/>
        <w:pageBreakBefore w:val="0"/>
        <w:widowControl w:val="0"/>
        <w:kinsoku/>
        <w:wordWrap/>
        <w:overflowPunct w:val="0"/>
        <w:topLinePunct w:val="0"/>
        <w:bidi w:val="0"/>
        <w:adjustRightInd w:val="0"/>
        <w:snapToGrid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推进民主政治建设。</w:t>
      </w:r>
      <w:r>
        <w:rPr>
          <w:rFonts w:hint="default" w:ascii="Times New Roman" w:hAnsi="Times New Roman" w:eastAsia="仿宋_GB2312" w:cs="Times New Roman"/>
          <w:sz w:val="32"/>
          <w:szCs w:val="32"/>
          <w:highlight w:val="none"/>
          <w:u w:val="none"/>
        </w:rPr>
        <w:t>加强中国特色社会主义政党制度建设，完善支持民主党派、工商联和无党派人士履行职能方法，提高政治协商、民主监督、参政议政水平。全面贯彻党的宗教工作基本方针，积极引导宗教与社会主义社会相适应。完善大统战工作格局，促进政党关系、民族关系、宗教关系、阶层关系、海内外同胞关系和谐，巩固和发展大团结大联合局面。全面贯彻党的侨务政策，凝聚侨心、服务大局。发挥工会、共青团、妇联等群团组织作用，探索完善基层群众自治制度，保证人民依法参与经济社会治理。</w:t>
      </w:r>
    </w:p>
    <w:p w14:paraId="3729AAFB">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52" w:name="_Toc216985903"/>
      <w:r>
        <w:rPr>
          <w:rFonts w:hint="default" w:ascii="Times New Roman" w:hAnsi="Times New Roman" w:eastAsia="黑体" w:cs="Times New Roman"/>
          <w:b w:val="0"/>
          <w:bCs w:val="0"/>
          <w:highlight w:val="none"/>
          <w:u w:val="none"/>
          <w:lang w:val="zh-CN"/>
        </w:rPr>
        <w:t>二、完善要素保障体系</w:t>
      </w:r>
      <w:bookmarkEnd w:id="152"/>
    </w:p>
    <w:p w14:paraId="19550E66">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强化项目服务保障。</w:t>
      </w:r>
      <w:r>
        <w:rPr>
          <w:rFonts w:hint="default" w:ascii="Times New Roman" w:hAnsi="Times New Roman" w:eastAsia="仿宋_GB2312" w:cs="Times New Roman"/>
          <w:sz w:val="32"/>
          <w:szCs w:val="32"/>
          <w:highlight w:val="none"/>
          <w:u w:val="none"/>
        </w:rPr>
        <w:t>坚持规划与发展相衔接，强化项目建设，完善常态化、长效化运行机制，建立覆盖全面、结构合理、梯次分明的项目库，持续谋划储备、开工建设、竣工投产一批投资规模大、科技含量高、市场前景好、带动能力强的重大项目。健全重点项目、工业项目、招商引资项目、统计在库项目“四单合一”工作推进机制，以项目争资金、争支持，构建“储备一批、成熟一批、申报一批”的动态滚动管理模式。发挥企业主体作用，积极引导和帮助企业在延伸、拓展上下游产业链上多策划生成项目。健全项目推进协调服务机制，完善重大项目“绿色通道”制度，提高项目推进效率。强化项目招商与全周期服务。强化落地项目全流程服务保障，主动靠前解决企业难题。对标一流优化营商环境，完善数字创意产业园、</w:t>
      </w:r>
      <w:r>
        <w:rPr>
          <w:rFonts w:hint="default" w:ascii="Times New Roman" w:hAnsi="Times New Roman" w:eastAsia="仿宋_GB2312" w:cs="Times New Roman"/>
          <w:sz w:val="32"/>
          <w:szCs w:val="32"/>
          <w:highlight w:val="none"/>
          <w:u w:val="none"/>
          <w:lang w:eastAsia="zh-CN"/>
        </w:rPr>
        <w:t>江北园区</w:t>
      </w:r>
      <w:r>
        <w:rPr>
          <w:rFonts w:hint="default" w:ascii="Times New Roman" w:hAnsi="Times New Roman" w:eastAsia="仿宋_GB2312" w:cs="Times New Roman"/>
          <w:sz w:val="32"/>
          <w:szCs w:val="32"/>
          <w:highlight w:val="none"/>
          <w:u w:val="none"/>
        </w:rPr>
        <w:t>等载体制度体系，打造法治化、国际化、便利化投资环境。强化区域协同发展，为佳木斯区域中心城市建设贡献郊区力量。</w:t>
      </w:r>
    </w:p>
    <w:p w14:paraId="270D201F">
      <w:pPr>
        <w:keepNext w:val="0"/>
        <w:keepLines w:val="0"/>
        <w:pageBreakBefore w:val="0"/>
        <w:widowControl w:val="0"/>
        <w:kinsoku/>
        <w:wordWrap/>
        <w:overflowPunct w:val="0"/>
        <w:topLinePunct w:val="0"/>
        <w:bidi w:val="0"/>
        <w:spacing w:line="580" w:lineRule="exact"/>
        <w:ind w:firstLine="643" w:firstLineChars="200"/>
        <w:textAlignment w:val="auto"/>
        <w:rPr>
          <w:rFonts w:hint="default" w:ascii="Times New Roman" w:hAnsi="Times New Roman" w:eastAsia="华文仿宋" w:cs="Times New Roman"/>
          <w:sz w:val="28"/>
          <w:szCs w:val="28"/>
          <w:highlight w:val="none"/>
          <w:u w:val="none"/>
        </w:rPr>
      </w:pPr>
      <w:r>
        <w:rPr>
          <w:rFonts w:hint="default" w:ascii="Times New Roman" w:hAnsi="Times New Roman" w:eastAsia="仿宋_GB2312" w:cs="Times New Roman"/>
          <w:b/>
          <w:bCs/>
          <w:sz w:val="32"/>
          <w:szCs w:val="32"/>
          <w:highlight w:val="none"/>
          <w:u w:val="none"/>
        </w:rPr>
        <w:t>强化招商引资力度。</w:t>
      </w:r>
      <w:r>
        <w:rPr>
          <w:rFonts w:hint="default" w:ascii="Times New Roman" w:hAnsi="Times New Roman" w:eastAsia="仿宋_GB2312" w:cs="Times New Roman"/>
          <w:sz w:val="32"/>
          <w:szCs w:val="32"/>
          <w:highlight w:val="none"/>
          <w:u w:val="none"/>
        </w:rPr>
        <w:t>将招商引资上项目作为头等大事和经济工作的生命线，摆上更加突出的位置。发挥招商小组的招商带动作用，突出主导产业抓招商，创新方式方法抓招商，紧盯项目落地抓招商，不断改进招商引资的思路和方法，细化完善产业招商指引、产业招商地图、产业链招商图谱，建立招商引资项目库，有效开展精准招商，灵活运用“不见面”招商、委托招商、以商招商等方式，实现实际利用内资、外资双增长。瞄准重点谋招商，动态完善产业链图谱和招商地图，深化“链长制”招商，加快脚步“走出去”“引进来”，将京津冀、长江经济带和粤港澳大湾区等经济发达地区作为招商引资的主要区域，全面招引</w:t>
      </w:r>
      <w:r>
        <w:rPr>
          <w:rFonts w:hint="eastAsia" w:ascii="Times New Roman" w:hAnsi="Times New Roman" w:eastAsia="仿宋_GB2312" w:cs="Times New Roman"/>
          <w:sz w:val="32"/>
          <w:szCs w:val="32"/>
          <w:highlight w:val="none"/>
          <w:u w:val="none"/>
          <w:lang w:val="en-US" w:eastAsia="zh-CN"/>
        </w:rPr>
        <w:t>延</w:t>
      </w:r>
      <w:r>
        <w:rPr>
          <w:rFonts w:hint="default" w:ascii="Times New Roman" w:hAnsi="Times New Roman" w:eastAsia="仿宋_GB2312" w:cs="Times New Roman"/>
          <w:sz w:val="32"/>
          <w:szCs w:val="32"/>
          <w:highlight w:val="none"/>
          <w:u w:val="none"/>
        </w:rPr>
        <w:t>链强链补链、立区立园立本的优质项目。积极参加“哈洽会”“进博会”等重大招商活动，依托本地优质企业资源，挖掘上下游关联商机，让企业发挥“磁石效应”，吸引产业链伙伴落地，激活区域发展新活力。</w:t>
      </w:r>
    </w:p>
    <w:p w14:paraId="08792F36">
      <w:pPr>
        <w:keepNext w:val="0"/>
        <w:keepLines w:val="0"/>
        <w:pageBreakBefore w:val="0"/>
        <w:widowControl w:val="0"/>
        <w:kinsoku/>
        <w:wordWrap/>
        <w:overflowPunct w:val="0"/>
        <w:topLinePunct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强化政策资金保障。</w:t>
      </w:r>
      <w:r>
        <w:rPr>
          <w:rFonts w:hint="default" w:ascii="Times New Roman" w:hAnsi="Times New Roman" w:eastAsia="仿宋_GB2312" w:cs="Times New Roman"/>
          <w:sz w:val="32"/>
          <w:szCs w:val="32"/>
          <w:highlight w:val="none"/>
          <w:u w:val="none"/>
        </w:rPr>
        <w:t>完善政府投资、产业发展、社会事业、区域发展和改革创新等领域的政策措施。改善政府投资和财政支出结构，加强存量整合，优化增量安排，优先安排涉及民生保障、公共服务、公共安全、生态环境等领域的财政投入。有效发挥政府资金的引导作用，鼓励社会投资。强化对财政资金的审计监督，厉行勤俭节约，严控行政成本。</w:t>
      </w:r>
    </w:p>
    <w:p w14:paraId="196D758B">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强化发展用地供应。</w:t>
      </w:r>
      <w:r>
        <w:rPr>
          <w:rFonts w:hint="default" w:ascii="Times New Roman" w:hAnsi="Times New Roman" w:eastAsia="仿宋_GB2312" w:cs="Times New Roman"/>
          <w:sz w:val="32"/>
          <w:szCs w:val="32"/>
          <w:highlight w:val="none"/>
          <w:u w:val="none"/>
        </w:rPr>
        <w:t>全面梳理全区建设用地现状，按照节约集约用地的原则，进一步调整提高企业和项目用地的投资强度、容积率和产出效益。积极开展存量用地挖潜，鼓励和引导企业对现有建设用地再开发、再调整、再利用。盘活现有闲置厂房，加大对闲置、低效用地的处置力度。优化产业用地供应机制，加大创新型产业用房供给，允许符合条件的闲置产业用地建设创新型产业用房，实行创新型产业用房租金优惠。支持厂中厂、园中园建设，创新土地使用方式。严守生态保护红线和永久基本农田。</w:t>
      </w:r>
    </w:p>
    <w:p w14:paraId="74D094FA">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textAlignment w:val="auto"/>
        <w:rPr>
          <w:rFonts w:hint="default" w:ascii="Times New Roman" w:hAnsi="Times New Roman" w:eastAsia="黑体" w:cs="Times New Roman"/>
          <w:b w:val="0"/>
          <w:bCs w:val="0"/>
          <w:highlight w:val="none"/>
          <w:u w:val="none"/>
          <w:lang w:val="zh-CN"/>
        </w:rPr>
      </w:pPr>
      <w:bookmarkStart w:id="153" w:name="_Toc216985904"/>
      <w:bookmarkStart w:id="154" w:name="_Hlk56195718"/>
      <w:r>
        <w:rPr>
          <w:rFonts w:hint="default" w:ascii="Times New Roman" w:hAnsi="Times New Roman" w:eastAsia="黑体" w:cs="Times New Roman"/>
          <w:b w:val="0"/>
          <w:bCs w:val="0"/>
          <w:highlight w:val="none"/>
          <w:u w:val="none"/>
          <w:lang w:val="zh-CN"/>
        </w:rPr>
        <w:t>三、健全规划实施机制</w:t>
      </w:r>
      <w:bookmarkEnd w:id="153"/>
    </w:p>
    <w:p w14:paraId="63E2AF63">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完善规划实施衔接机制。</w:t>
      </w:r>
      <w:r>
        <w:rPr>
          <w:rFonts w:hint="default" w:ascii="Times New Roman" w:hAnsi="Times New Roman" w:eastAsia="仿宋_GB2312" w:cs="Times New Roman"/>
          <w:sz w:val="32"/>
          <w:szCs w:val="32"/>
          <w:highlight w:val="none"/>
          <w:u w:val="none"/>
        </w:rPr>
        <w:t>本规划是制定专项规划、年度计划及相关政策的重要依据，确保各级各类规划在总体要求上指向一致、空间配置上相互协调、时序安排上科学有序。各乡镇、各部门要认真贯彻本规划的战略意图和主要任务，在制定规划、计划、政策时要强化与总体规划的衔接。</w:t>
      </w:r>
    </w:p>
    <w:p w14:paraId="2997A41B">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强化目标任务落实。</w:t>
      </w:r>
      <w:r>
        <w:rPr>
          <w:rFonts w:hint="default" w:ascii="Times New Roman" w:hAnsi="Times New Roman" w:eastAsia="仿宋_GB2312" w:cs="Times New Roman"/>
          <w:sz w:val="32"/>
          <w:szCs w:val="32"/>
          <w:highlight w:val="none"/>
          <w:u w:val="none"/>
        </w:rPr>
        <w:t>区政府统一组织本规划的实施，制定规划实施方案，分解发展目标、主要任务，明确牵头单位、工作责任，加大绩效考核力度。对纳入本规划的重大工程项目，要简化审批核准程序，优先保障规划选址、土地供应和融资安排。各乡镇、各部门要细化本规划提出的主要任务，形成落实责任分工的重要支撑和抓手。</w:t>
      </w:r>
    </w:p>
    <w:bookmarkEnd w:id="154"/>
    <w:p w14:paraId="464CE93D">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实施全生命周期管理。</w:t>
      </w:r>
      <w:r>
        <w:rPr>
          <w:rFonts w:hint="default" w:ascii="Times New Roman" w:hAnsi="Times New Roman" w:eastAsia="仿宋_GB2312" w:cs="Times New Roman"/>
          <w:sz w:val="32"/>
          <w:szCs w:val="32"/>
          <w:highlight w:val="none"/>
          <w:u w:val="none"/>
        </w:rPr>
        <w:t>区发展改革部门负责规划实施情况的总体跟踪分析，各乡镇、各部门负责对规划相关领域及专项规划、重点区域规划实施情况进行跟踪分析。自觉接受区人民代表大会及其常务委员会对规划实施情况的监督检查。建立健全统筹规划评价体系和考核办法，实施跟踪督查、定期通报制度。加强规划实施情况动态监测，建立规划实施督促检查和第三方评价机制，及时发现规划实施存在的问题并做出相应调整。扎实做好规划实施中期评估和总结评估，创新评估方式，完善指标统计制度，探索引入社会机构参与评估。</w:t>
      </w:r>
    </w:p>
    <w:p w14:paraId="5C2AFCCD">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eastAsia="仿宋_GB2312" w:cs="Times New Roman"/>
          <w:sz w:val="32"/>
          <w:szCs w:val="32"/>
          <w:highlight w:val="none"/>
          <w:u w:val="none"/>
        </w:rPr>
      </w:pPr>
      <w:bookmarkStart w:id="155" w:name="_Toc202609678"/>
      <w:r>
        <w:rPr>
          <w:rFonts w:hint="default" w:ascii="Times New Roman" w:hAnsi="Times New Roman" w:eastAsia="仿宋_GB2312" w:cs="Times New Roman"/>
          <w:b/>
          <w:bCs/>
          <w:sz w:val="32"/>
          <w:szCs w:val="32"/>
          <w:highlight w:val="none"/>
          <w:u w:val="none"/>
        </w:rPr>
        <w:t>调动全社会积极性</w:t>
      </w:r>
      <w:bookmarkEnd w:id="155"/>
      <w:r>
        <w:rPr>
          <w:rFonts w:hint="default" w:ascii="Times New Roman" w:hAnsi="Times New Roman" w:eastAsia="仿宋_GB2312" w:cs="Times New Roman"/>
          <w:b/>
          <w:bCs/>
          <w:sz w:val="32"/>
          <w:szCs w:val="32"/>
          <w:highlight w:val="none"/>
          <w:u w:val="none"/>
        </w:rPr>
        <w:t>。</w:t>
      </w:r>
      <w:r>
        <w:rPr>
          <w:rFonts w:hint="default" w:ascii="Times New Roman" w:hAnsi="Times New Roman" w:eastAsia="仿宋_GB2312" w:cs="Times New Roman"/>
          <w:sz w:val="32"/>
          <w:szCs w:val="32"/>
          <w:highlight w:val="none"/>
          <w:u w:val="none"/>
        </w:rPr>
        <w:t>尊重人民群众首创精神，鼓励广大人民群众以各种方式为“十五五”规划实施建言献策，切实把社会期盼、群众智慧、专家意见、基层经验充分吸收到“十五五”规划实践中来。支持人大和政协依法履职，加强民主监督、参政议政等方面的制度建设。巩固和发展最广泛的爱国统一战线，全面落实</w:t>
      </w:r>
      <w:r>
        <w:rPr>
          <w:rFonts w:hint="default" w:ascii="Times New Roman" w:hAnsi="Times New Roman" w:eastAsia="仿宋_GB2312" w:cs="Times New Roman"/>
          <w:sz w:val="32"/>
          <w:szCs w:val="32"/>
          <w:highlight w:val="none"/>
          <w:u w:val="none"/>
          <w:lang w:eastAsia="zh-CN"/>
        </w:rPr>
        <w:t>党外知识分子</w:t>
      </w:r>
      <w:r>
        <w:rPr>
          <w:rFonts w:hint="default" w:ascii="Times New Roman" w:hAnsi="Times New Roman" w:eastAsia="仿宋_GB2312" w:cs="Times New Roman"/>
          <w:sz w:val="32"/>
          <w:szCs w:val="32"/>
          <w:highlight w:val="none"/>
          <w:u w:val="none"/>
        </w:rPr>
        <w:t>、民族、宗教、侨务等政策，支持工会、共青团、妇联等人民团体和各类社会组织参与社会治理和公共服务，规范完善经济社会重大问题同各有关方面进行协商的方法渠道。</w:t>
      </w:r>
    </w:p>
    <w:p w14:paraId="69873F89">
      <w:pPr>
        <w:keepNext w:val="0"/>
        <w:keepLines w:val="0"/>
        <w:pageBreakBefore w:val="0"/>
        <w:widowControl w:val="0"/>
        <w:kinsoku/>
        <w:wordWrap/>
        <w:overflowPunct w:val="0"/>
        <w:topLinePunct w:val="0"/>
        <w:autoSpaceDE w:val="0"/>
        <w:autoSpaceDN w:val="0"/>
        <w:bidi w:val="0"/>
        <w:spacing w:line="580" w:lineRule="exact"/>
        <w:ind w:firstLine="643" w:firstLineChars="200"/>
        <w:textAlignment w:val="auto"/>
        <w:rPr>
          <w:rFonts w:hint="default" w:ascii="Times New Roman" w:hAnsi="Times New Roman" w:cs="Times New Roman"/>
          <w:highlight w:val="none"/>
          <w:u w:val="none"/>
        </w:rPr>
      </w:pPr>
      <w:r>
        <w:rPr>
          <w:rFonts w:hint="default" w:ascii="Times New Roman" w:hAnsi="Times New Roman" w:eastAsia="仿宋_GB2312" w:cs="Times New Roman"/>
          <w:b/>
          <w:bCs/>
          <w:sz w:val="32"/>
          <w:szCs w:val="32"/>
          <w:highlight w:val="none"/>
          <w:u w:val="none"/>
        </w:rPr>
        <w:t>广泛开展规划宣传。</w:t>
      </w:r>
      <w:r>
        <w:rPr>
          <w:rFonts w:hint="default" w:ascii="Times New Roman" w:hAnsi="Times New Roman" w:eastAsia="仿宋_GB2312" w:cs="Times New Roman"/>
          <w:sz w:val="32"/>
          <w:szCs w:val="32"/>
          <w:highlight w:val="none"/>
          <w:u w:val="none"/>
        </w:rPr>
        <w:t>加强宣传和舆论引导，更好地把全</w:t>
      </w:r>
      <w:r>
        <w:rPr>
          <w:rFonts w:hint="default" w:ascii="Times New Roman" w:hAnsi="Times New Roman" w:eastAsia="仿宋_GB2312" w:cs="Times New Roman"/>
          <w:sz w:val="32"/>
          <w:szCs w:val="32"/>
          <w:highlight w:val="none"/>
          <w:u w:val="none"/>
          <w:lang w:val="en-US" w:eastAsia="zh-CN"/>
        </w:rPr>
        <w:t>区</w:t>
      </w:r>
      <w:r>
        <w:rPr>
          <w:rFonts w:hint="default" w:ascii="Times New Roman" w:hAnsi="Times New Roman" w:eastAsia="仿宋_GB2312" w:cs="Times New Roman"/>
          <w:sz w:val="32"/>
          <w:szCs w:val="32"/>
          <w:highlight w:val="none"/>
          <w:u w:val="none"/>
        </w:rPr>
        <w:t>人民的思想和行动统一起来，用“十五五”规划目标凝聚民心、集中民智、汇集民力，让规划实施成为全社会的自觉行动，激发全社会积极性。</w:t>
      </w:r>
    </w:p>
    <w:p w14:paraId="23439C54">
      <w:pPr>
        <w:keepNext w:val="0"/>
        <w:keepLines w:val="0"/>
        <w:pageBreakBefore w:val="0"/>
        <w:widowControl w:val="0"/>
        <w:kinsoku/>
        <w:wordWrap/>
        <w:overflowPunct w:val="0"/>
        <w:topLinePunct w:val="0"/>
        <w:bidi w:val="0"/>
        <w:jc w:val="left"/>
        <w:textAlignment w:val="auto"/>
        <w:rPr>
          <w:rFonts w:hint="default" w:ascii="Times New Roman" w:hAnsi="Times New Roman" w:cs="Times New Roman"/>
          <w:highlight w:val="none"/>
          <w:u w:val="none"/>
        </w:rPr>
      </w:pPr>
    </w:p>
    <w:p w14:paraId="0155C8CB">
      <w:pPr>
        <w:pStyle w:val="9"/>
        <w:keepNext w:val="0"/>
        <w:keepLines w:val="0"/>
        <w:pageBreakBefore w:val="0"/>
        <w:widowControl w:val="0"/>
        <w:kinsoku/>
        <w:wordWrap/>
        <w:overflowPunct w:val="0"/>
        <w:topLinePunct w:val="0"/>
        <w:bidi w:val="0"/>
        <w:textAlignment w:val="auto"/>
        <w:rPr>
          <w:rFonts w:hint="default" w:ascii="Times New Roman" w:hAnsi="Times New Roman" w:cs="Times New Roman"/>
          <w:highlight w:val="none"/>
          <w:u w:val="none"/>
        </w:rPr>
      </w:pPr>
    </w:p>
    <w:p w14:paraId="09378B88">
      <w:pPr>
        <w:pStyle w:val="9"/>
        <w:keepNext w:val="0"/>
        <w:keepLines w:val="0"/>
        <w:pageBreakBefore w:val="0"/>
        <w:widowControl w:val="0"/>
        <w:kinsoku/>
        <w:wordWrap/>
        <w:overflowPunct w:val="0"/>
        <w:topLinePunct w:val="0"/>
        <w:bidi w:val="0"/>
        <w:textAlignment w:val="auto"/>
        <w:rPr>
          <w:rFonts w:hint="default" w:ascii="Times New Roman" w:hAnsi="Times New Roman" w:cs="Times New Roman"/>
          <w:highlight w:val="none"/>
          <w:u w:val="none"/>
        </w:rPr>
      </w:pPr>
    </w:p>
    <w:p w14:paraId="3179776F">
      <w:pPr>
        <w:rPr>
          <w:rFonts w:hint="default" w:ascii="Times New Roman" w:hAnsi="Times New Roman" w:eastAsia="黑体" w:cs="Times New Roman"/>
          <w:b/>
          <w:sz w:val="32"/>
          <w:szCs w:val="32"/>
          <w:highlight w:val="none"/>
          <w:u w:val="none"/>
          <w:lang w:val="zh-CN"/>
        </w:rPr>
      </w:pPr>
      <w:bookmarkStart w:id="156" w:name="_Toc216985905"/>
      <w:r>
        <w:rPr>
          <w:rFonts w:hint="default" w:ascii="Times New Roman" w:hAnsi="Times New Roman" w:eastAsia="黑体" w:cs="Times New Roman"/>
          <w:b/>
          <w:sz w:val="32"/>
          <w:szCs w:val="32"/>
          <w:highlight w:val="none"/>
          <w:u w:val="none"/>
          <w:lang w:val="zh-CN"/>
        </w:rPr>
        <w:br w:type="page"/>
      </w:r>
    </w:p>
    <w:p w14:paraId="533B396F">
      <w:pPr>
        <w:keepNext w:val="0"/>
        <w:keepLines w:val="0"/>
        <w:pageBreakBefore w:val="0"/>
        <w:widowControl w:val="0"/>
        <w:kinsoku/>
        <w:wordWrap/>
        <w:overflowPunct w:val="0"/>
        <w:topLinePunct w:val="0"/>
        <w:autoSpaceDE w:val="0"/>
        <w:autoSpaceDN w:val="0"/>
        <w:bidi w:val="0"/>
        <w:adjustRightInd w:val="0"/>
        <w:spacing w:line="580" w:lineRule="exact"/>
        <w:textAlignment w:val="auto"/>
        <w:outlineLvl w:val="0"/>
        <w:rPr>
          <w:rFonts w:hint="default" w:ascii="Times New Roman" w:hAnsi="Times New Roman" w:eastAsia="黑体" w:cs="Times New Roman"/>
          <w:b w:val="0"/>
          <w:bCs/>
          <w:sz w:val="32"/>
          <w:szCs w:val="32"/>
          <w:highlight w:val="none"/>
          <w:u w:val="none"/>
          <w:lang w:val="zh-CN"/>
        </w:rPr>
      </w:pPr>
      <w:r>
        <w:rPr>
          <w:rFonts w:hint="default" w:ascii="Times New Roman" w:hAnsi="Times New Roman" w:eastAsia="黑体" w:cs="Times New Roman"/>
          <w:b w:val="0"/>
          <w:bCs/>
          <w:sz w:val="32"/>
          <w:szCs w:val="32"/>
          <w:highlight w:val="none"/>
          <w:u w:val="none"/>
          <w:lang w:val="zh-CN"/>
        </w:rPr>
        <w:t>名词解释</w:t>
      </w:r>
      <w:bookmarkEnd w:id="156"/>
    </w:p>
    <w:p w14:paraId="3A1A2A11">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1.“五大安全”</w:t>
      </w:r>
      <w:r>
        <w:rPr>
          <w:rFonts w:hint="default" w:ascii="Times New Roman" w:hAnsi="Times New Roman" w:eastAsia="仿宋_GB2312" w:cs="Times New Roman"/>
          <w:sz w:val="32"/>
          <w:szCs w:val="32"/>
          <w:highlight w:val="none"/>
          <w:u w:val="none"/>
        </w:rPr>
        <w:t>：国防安全、粮食安全、生态安全、能源安全、产业安全。</w:t>
      </w:r>
    </w:p>
    <w:p w14:paraId="537E8A1D">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2.“智改数转网联”：</w:t>
      </w:r>
      <w:r>
        <w:rPr>
          <w:rFonts w:hint="default" w:ascii="Times New Roman" w:hAnsi="Times New Roman" w:eastAsia="仿宋_GB2312" w:cs="Times New Roman"/>
          <w:sz w:val="32"/>
          <w:szCs w:val="32"/>
          <w:highlight w:val="none"/>
          <w:u w:val="none"/>
        </w:rPr>
        <w:t>即智能化改造、数字化转型、网络化联接。</w:t>
      </w:r>
    </w:p>
    <w:p w14:paraId="37D0576E">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3.“三区三线”：</w:t>
      </w:r>
      <w:r>
        <w:rPr>
          <w:rFonts w:hint="default" w:ascii="Times New Roman" w:hAnsi="Times New Roman" w:eastAsia="仿宋_GB2312" w:cs="Times New Roman"/>
          <w:sz w:val="32"/>
          <w:szCs w:val="32"/>
          <w:highlight w:val="none"/>
          <w:u w:val="none"/>
        </w:rPr>
        <w:t>三区，是指生态、农业、城镇三类空间；三线，是指根据生态空间、农业空间、城镇空间划定的生态保护红线、永久基本农田和城镇开发边界三条控制线。</w:t>
      </w:r>
    </w:p>
    <w:p w14:paraId="15540DA0">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4.“两品一标”：</w:t>
      </w:r>
      <w:r>
        <w:rPr>
          <w:rFonts w:hint="default" w:ascii="Times New Roman" w:hAnsi="Times New Roman" w:eastAsia="仿宋_GB2312" w:cs="Times New Roman"/>
          <w:sz w:val="32"/>
          <w:szCs w:val="32"/>
          <w:highlight w:val="none"/>
          <w:u w:val="none"/>
        </w:rPr>
        <w:t>绿色食品、有机农产品和农产品地理标志。</w:t>
      </w:r>
    </w:p>
    <w:p w14:paraId="6D785913">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5.“千百十”产业量级提升工程：</w:t>
      </w:r>
      <w:r>
        <w:rPr>
          <w:rFonts w:hint="default" w:ascii="Times New Roman" w:hAnsi="Times New Roman" w:eastAsia="仿宋_GB2312" w:cs="Times New Roman"/>
          <w:sz w:val="32"/>
          <w:szCs w:val="32"/>
          <w:highlight w:val="none"/>
          <w:u w:val="none"/>
        </w:rPr>
        <w:t>着力打造一个农副产品加工千亿级产业集群，培育电机装备、智能农机、高端玻璃、生物医药等十个百亿级产业链，大力发展口腔医疗、电子信息制造等百个十亿级特色产业，促进全市工业经济实现高质量发展。</w:t>
      </w:r>
    </w:p>
    <w:p w14:paraId="4BB52959">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bookmarkStart w:id="157" w:name="_Hlk63017739"/>
      <w:r>
        <w:rPr>
          <w:rFonts w:hint="default" w:ascii="Times New Roman" w:hAnsi="Times New Roman" w:eastAsia="仿宋_GB2312" w:cs="Times New Roman"/>
          <w:b/>
          <w:bCs/>
          <w:sz w:val="32"/>
          <w:szCs w:val="32"/>
          <w:highlight w:val="none"/>
          <w:u w:val="none"/>
        </w:rPr>
        <w:t>6.</w:t>
      </w:r>
      <w:bookmarkEnd w:id="157"/>
      <w:r>
        <w:rPr>
          <w:rFonts w:hint="default" w:ascii="Times New Roman" w:hAnsi="Times New Roman" w:eastAsia="仿宋_GB2312" w:cs="Times New Roman"/>
          <w:b/>
          <w:bCs/>
          <w:sz w:val="32"/>
          <w:szCs w:val="32"/>
          <w:highlight w:val="none"/>
          <w:u w:val="none"/>
        </w:rPr>
        <w:t>“3+2贯通”：</w:t>
      </w:r>
      <w:r>
        <w:rPr>
          <w:rFonts w:hint="default" w:ascii="Times New Roman" w:hAnsi="Times New Roman" w:eastAsia="仿宋_GB2312" w:cs="Times New Roman"/>
          <w:sz w:val="32"/>
          <w:szCs w:val="32"/>
          <w:highlight w:val="none"/>
          <w:u w:val="none"/>
        </w:rPr>
        <w:t>指参加夏季高考的考生，经省教育招生考试院正式录取，以专科生身份进入试点高职高专院校学习，前三年在高职高专院校培养，第三年经考核测试后，择优选拔部分学生进入衔接本科高校学习二年。</w:t>
      </w:r>
    </w:p>
    <w:p w14:paraId="09EC1ED9">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b/>
          <w:bCs/>
          <w:sz w:val="32"/>
          <w:szCs w:val="32"/>
          <w:highlight w:val="none"/>
          <w:u w:val="none"/>
        </w:rPr>
      </w:pPr>
      <w:r>
        <w:rPr>
          <w:rFonts w:hint="default" w:ascii="Times New Roman" w:hAnsi="Times New Roman" w:eastAsia="仿宋_GB2312" w:cs="Times New Roman"/>
          <w:b/>
          <w:bCs/>
          <w:sz w:val="32"/>
          <w:szCs w:val="32"/>
          <w:highlight w:val="none"/>
          <w:u w:val="none"/>
        </w:rPr>
        <w:t>7.“两个只增不减”：</w:t>
      </w:r>
      <w:r>
        <w:rPr>
          <w:rFonts w:hint="default" w:ascii="Times New Roman" w:hAnsi="Times New Roman" w:eastAsia="仿宋_GB2312" w:cs="Times New Roman"/>
          <w:sz w:val="32"/>
          <w:szCs w:val="32"/>
          <w:highlight w:val="none"/>
          <w:u w:val="none"/>
        </w:rPr>
        <w:t>即确保财政一般公共预算教育支出逐年只增不减，确保按在校学生人数平均的一般公共预算教育支出逐年只增不减。</w:t>
      </w:r>
    </w:p>
    <w:p w14:paraId="1257AD44">
      <w:pPr>
        <w:pStyle w:val="9"/>
        <w:keepNext w:val="0"/>
        <w:keepLines w:val="0"/>
        <w:pageBreakBefore w:val="0"/>
        <w:widowControl w:val="0"/>
        <w:kinsoku/>
        <w:wordWrap/>
        <w:overflowPunct w:val="0"/>
        <w:topLinePunct w:val="0"/>
        <w:bidi w:val="0"/>
        <w:adjustRightInd w:val="0"/>
        <w:snapToGrid w:val="0"/>
        <w:spacing w:after="0" w:line="58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8.“五位一体”总体布局：</w:t>
      </w:r>
      <w:r>
        <w:rPr>
          <w:rFonts w:hint="default" w:ascii="Times New Roman" w:hAnsi="Times New Roman" w:eastAsia="仿宋_GB2312" w:cs="Times New Roman"/>
          <w:sz w:val="32"/>
          <w:szCs w:val="32"/>
          <w:highlight w:val="none"/>
          <w:u w:val="none"/>
        </w:rPr>
        <w:t>是指经济建设、政治建设、文化建设、社会建设和生态文明建设</w:t>
      </w:r>
      <w:r>
        <w:rPr>
          <w:rFonts w:hint="default" w:ascii="Times New Roman" w:hAnsi="Times New Roman" w:eastAsia="仿宋_GB2312" w:cs="Times New Roman"/>
          <w:sz w:val="32"/>
          <w:szCs w:val="32"/>
          <w:highlight w:val="none"/>
          <w:u w:val="none"/>
          <w:lang w:eastAsia="zh-CN"/>
        </w:rPr>
        <w:t>“五位一体”</w:t>
      </w:r>
      <w:r>
        <w:rPr>
          <w:rFonts w:hint="default" w:ascii="Times New Roman" w:hAnsi="Times New Roman" w:eastAsia="仿宋_GB2312" w:cs="Times New Roman"/>
          <w:sz w:val="32"/>
          <w:szCs w:val="32"/>
          <w:highlight w:val="none"/>
          <w:u w:val="none"/>
        </w:rPr>
        <w:t>，全面推进。</w:t>
      </w:r>
    </w:p>
    <w:p w14:paraId="274C1D9A">
      <w:pPr>
        <w:keepNext w:val="0"/>
        <w:keepLines w:val="0"/>
        <w:pageBreakBefore w:val="0"/>
        <w:widowControl w:val="0"/>
        <w:kinsoku/>
        <w:wordWrap/>
        <w:overflowPunct w:val="0"/>
        <w:topLinePunct w:val="0"/>
        <w:bidi w:val="0"/>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9.“五个认同”：</w:t>
      </w:r>
      <w:r>
        <w:rPr>
          <w:rFonts w:hint="default" w:ascii="Times New Roman" w:hAnsi="Times New Roman" w:eastAsia="仿宋_GB2312" w:cs="Times New Roman"/>
          <w:sz w:val="32"/>
          <w:szCs w:val="32"/>
          <w:highlight w:val="none"/>
          <w:u w:val="none"/>
        </w:rPr>
        <w:t>增进各族群众对伟大祖国、中华民族、中华文化、中国共产党、中国特色社会主义的认同。</w:t>
      </w:r>
    </w:p>
    <w:p w14:paraId="60A053EF">
      <w:pPr>
        <w:keepNext w:val="0"/>
        <w:keepLines w:val="0"/>
        <w:pageBreakBefore w:val="0"/>
        <w:widowControl w:val="0"/>
        <w:kinsoku/>
        <w:wordWrap/>
        <w:overflowPunct w:val="0"/>
        <w:topLinePunct w:val="0"/>
        <w:bidi w:val="0"/>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sz w:val="32"/>
          <w:szCs w:val="32"/>
          <w:highlight w:val="none"/>
          <w:u w:val="none"/>
        </w:rPr>
        <w:t>10.“雪亮工程”：</w:t>
      </w:r>
      <w:r>
        <w:rPr>
          <w:rFonts w:hint="default" w:ascii="Times New Roman" w:hAnsi="Times New Roman" w:eastAsia="仿宋_GB2312" w:cs="Times New Roman"/>
          <w:sz w:val="32"/>
          <w:szCs w:val="32"/>
          <w:highlight w:val="none"/>
          <w:u w:val="none"/>
        </w:rPr>
        <w:t>以农村、社区为重点，对重要部位、复杂场所、农村薄弱地区进行视频监控建设，实现城乡治安防控建设一体化、立体化、信息化的社会治安防控体系工程。</w:t>
      </w:r>
    </w:p>
    <w:p w14:paraId="5AC54822">
      <w:pPr>
        <w:keepNext w:val="0"/>
        <w:keepLines w:val="0"/>
        <w:pageBreakBefore w:val="0"/>
        <w:widowControl w:val="0"/>
        <w:kinsoku/>
        <w:wordWrap/>
        <w:overflowPunct w:val="0"/>
        <w:topLinePunct w:val="0"/>
        <w:bidi w:val="0"/>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b/>
          <w:bCs/>
          <w:kern w:val="2"/>
          <w:sz w:val="32"/>
          <w:szCs w:val="32"/>
          <w:highlight w:val="none"/>
          <w:u w:val="none"/>
          <w:lang w:val="en-US" w:eastAsia="zh-CN" w:bidi="ar-SA"/>
        </w:rPr>
        <w:t>11.“四库一团”模式：</w:t>
      </w:r>
      <w:r>
        <w:rPr>
          <w:rFonts w:hint="default" w:ascii="Times New Roman" w:hAnsi="Times New Roman" w:eastAsia="仿宋_GB2312" w:cs="Times New Roman"/>
          <w:kern w:val="2"/>
          <w:sz w:val="32"/>
          <w:szCs w:val="32"/>
          <w:highlight w:val="none"/>
          <w:u w:val="none"/>
          <w:lang w:val="en-US" w:eastAsia="zh-CN" w:bidi="ar-SA"/>
        </w:rPr>
        <w:t>即惠企政策信息库、重点培育企业信息库、企业培育信息库、企业两代表一委员情况信息库、首席服务员、惠企服务专员、法律服务团。</w:t>
      </w:r>
    </w:p>
    <w:p w14:paraId="5BC9FE37">
      <w:pPr>
        <w:keepNext w:val="0"/>
        <w:keepLines w:val="0"/>
        <w:pageBreakBefore w:val="0"/>
        <w:widowControl w:val="0"/>
        <w:kinsoku/>
        <w:wordWrap/>
        <w:overflowPunct w:val="0"/>
        <w:topLinePunct w:val="0"/>
        <w:bidi w:val="0"/>
        <w:textAlignment w:val="auto"/>
        <w:rPr>
          <w:rFonts w:hint="default" w:ascii="Times New Roman" w:hAnsi="Times New Roman" w:eastAsia="仿宋_GB2312" w:cs="Times New Roman"/>
          <w:sz w:val="32"/>
          <w:szCs w:val="32"/>
          <w:highlight w:val="none"/>
          <w:u w:val="none"/>
        </w:rPr>
      </w:pPr>
    </w:p>
    <w:sectPr>
      <w:footerReference r:id="rId6" w:type="default"/>
      <w:pgSz w:w="11906" w:h="16838"/>
      <w:pgMar w:top="1440" w:right="1800" w:bottom="1440" w:left="1800" w:header="851" w:footer="992" w:gutter="0"/>
      <w:pgNumType w:start="1"/>
      <w:cols w:space="425" w:num="1"/>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856429-7F2C-4BFC-89DD-C39DA277DE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C3BFA98-3B59-437E-824B-6634B95B790E}"/>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3" w:fontKey="{03038BE3-4AF3-4456-B3CE-8D048139B6FE}"/>
  </w:font>
  <w:font w:name="方正小标宋简体">
    <w:panose1 w:val="02000000000000000000"/>
    <w:charset w:val="86"/>
    <w:family w:val="auto"/>
    <w:pitch w:val="default"/>
    <w:sig w:usb0="00000001" w:usb1="08000000" w:usb2="00000000" w:usb3="00000000" w:csb0="00040000" w:csb1="00000000"/>
    <w:embedRegular r:id="rId4" w:fontKey="{13CCA546-B072-4E1F-A230-26428A72BF00}"/>
  </w:font>
  <w:font w:name="方正楷体_GB2312">
    <w:altName w:val="宋体"/>
    <w:panose1 w:val="02000000000000000000"/>
    <w:charset w:val="86"/>
    <w:family w:val="auto"/>
    <w:pitch w:val="default"/>
    <w:sig w:usb0="00000000" w:usb1="00000000" w:usb2="00000012" w:usb3="00000000" w:csb0="00040001" w:csb1="00000000"/>
    <w:embedRegular r:id="rId5" w:fontKey="{B190F79B-538B-4AED-8C0D-1C462CD5E7D5}"/>
  </w:font>
  <w:font w:name="华文仿宋">
    <w:altName w:val="仿宋"/>
    <w:panose1 w:val="02010600040101010101"/>
    <w:charset w:val="86"/>
    <w:family w:val="auto"/>
    <w:pitch w:val="default"/>
    <w:sig w:usb0="00000000" w:usb1="00000000" w:usb2="00000000" w:usb3="00000000" w:csb0="0004009F" w:csb1="DFD70000"/>
    <w:embedRegular r:id="rId6" w:fontKey="{1E03D435-A936-4A14-8CA2-0FC4B2DF43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DD77C">
    <w:pPr>
      <w:pStyle w:val="17"/>
      <w:jc w:val="center"/>
    </w:pPr>
  </w:p>
  <w:p w14:paraId="5EAAB9A3">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558751"/>
    </w:sdtPr>
    <w:sdtContent>
      <w:p w14:paraId="1D5E3AF0">
        <w:pPr>
          <w:pStyle w:val="17"/>
          <w:jc w:val="center"/>
        </w:pPr>
        <w:r>
          <w:fldChar w:fldCharType="begin"/>
        </w:r>
        <w:r>
          <w:instrText xml:space="preserve"> PAGE   \* MERGEFORMAT </w:instrText>
        </w:r>
        <w:r>
          <w:fldChar w:fldCharType="separate"/>
        </w:r>
        <w:r>
          <w:rPr>
            <w:lang w:val="zh-CN"/>
          </w:rPr>
          <w:t>100</w:t>
        </w:r>
        <w:r>
          <w:rPr>
            <w:lang w:val="zh-CN"/>
          </w:rPr>
          <w:fldChar w:fldCharType="end"/>
        </w:r>
      </w:p>
    </w:sdtContent>
  </w:sdt>
  <w:p w14:paraId="6022BAE1">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6D2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1C8F0">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24105"/>
    <w:multiLevelType w:val="multilevel"/>
    <w:tmpl w:val="0C624105"/>
    <w:lvl w:ilvl="0" w:tentative="0">
      <w:start w:val="1"/>
      <w:numFmt w:val="japaneseCounting"/>
      <w:pStyle w:val="64"/>
      <w:lvlText w:val="第%1章"/>
      <w:lvlJc w:val="left"/>
      <w:pPr>
        <w:ind w:left="4058" w:hanging="1080"/>
      </w:pPr>
      <w:rPr>
        <w:rFonts w:hint="default"/>
        <w:lang w:val="en-US"/>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213"/>
  <w:drawingGridVerticalSpacing w:val="31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F62"/>
    <w:rsid w:val="00000209"/>
    <w:rsid w:val="00002781"/>
    <w:rsid w:val="000053AD"/>
    <w:rsid w:val="0001045D"/>
    <w:rsid w:val="000113D0"/>
    <w:rsid w:val="000133A0"/>
    <w:rsid w:val="000153E4"/>
    <w:rsid w:val="00015B17"/>
    <w:rsid w:val="00017127"/>
    <w:rsid w:val="000202D0"/>
    <w:rsid w:val="00021811"/>
    <w:rsid w:val="000306F9"/>
    <w:rsid w:val="00032D6B"/>
    <w:rsid w:val="000356FE"/>
    <w:rsid w:val="00035B90"/>
    <w:rsid w:val="00035FE5"/>
    <w:rsid w:val="00037000"/>
    <w:rsid w:val="00040B8F"/>
    <w:rsid w:val="000442BB"/>
    <w:rsid w:val="0005067E"/>
    <w:rsid w:val="00050ACF"/>
    <w:rsid w:val="000528AB"/>
    <w:rsid w:val="000530E3"/>
    <w:rsid w:val="00056C0D"/>
    <w:rsid w:val="00060E6E"/>
    <w:rsid w:val="00061BF3"/>
    <w:rsid w:val="000644DE"/>
    <w:rsid w:val="00064944"/>
    <w:rsid w:val="000665E8"/>
    <w:rsid w:val="00067971"/>
    <w:rsid w:val="00071B18"/>
    <w:rsid w:val="000727D1"/>
    <w:rsid w:val="00074710"/>
    <w:rsid w:val="00074BF0"/>
    <w:rsid w:val="000766D7"/>
    <w:rsid w:val="00076B7F"/>
    <w:rsid w:val="00076FAF"/>
    <w:rsid w:val="0008011D"/>
    <w:rsid w:val="0008029B"/>
    <w:rsid w:val="00080803"/>
    <w:rsid w:val="000813AA"/>
    <w:rsid w:val="00082FF3"/>
    <w:rsid w:val="0009029A"/>
    <w:rsid w:val="0009052F"/>
    <w:rsid w:val="00091E89"/>
    <w:rsid w:val="000920A3"/>
    <w:rsid w:val="0009354B"/>
    <w:rsid w:val="00094BEC"/>
    <w:rsid w:val="00095114"/>
    <w:rsid w:val="00096605"/>
    <w:rsid w:val="000A4ACF"/>
    <w:rsid w:val="000A5973"/>
    <w:rsid w:val="000B18B5"/>
    <w:rsid w:val="000B279E"/>
    <w:rsid w:val="000B37C1"/>
    <w:rsid w:val="000B5705"/>
    <w:rsid w:val="000B730D"/>
    <w:rsid w:val="000C0105"/>
    <w:rsid w:val="000C1912"/>
    <w:rsid w:val="000C52EA"/>
    <w:rsid w:val="000C550A"/>
    <w:rsid w:val="000C5D98"/>
    <w:rsid w:val="000D02C4"/>
    <w:rsid w:val="000D0B12"/>
    <w:rsid w:val="000D2801"/>
    <w:rsid w:val="000D3075"/>
    <w:rsid w:val="000D3846"/>
    <w:rsid w:val="000D4E64"/>
    <w:rsid w:val="000D5604"/>
    <w:rsid w:val="000D57CA"/>
    <w:rsid w:val="000D7133"/>
    <w:rsid w:val="000E010A"/>
    <w:rsid w:val="000E0F15"/>
    <w:rsid w:val="000E1132"/>
    <w:rsid w:val="000E1EE2"/>
    <w:rsid w:val="000E35D1"/>
    <w:rsid w:val="000E533E"/>
    <w:rsid w:val="000F02AC"/>
    <w:rsid w:val="000F61FA"/>
    <w:rsid w:val="000F66DB"/>
    <w:rsid w:val="000F7681"/>
    <w:rsid w:val="00100DE4"/>
    <w:rsid w:val="00102B76"/>
    <w:rsid w:val="0010514F"/>
    <w:rsid w:val="00105754"/>
    <w:rsid w:val="001067B0"/>
    <w:rsid w:val="001071E1"/>
    <w:rsid w:val="00107E04"/>
    <w:rsid w:val="00111E72"/>
    <w:rsid w:val="00113F76"/>
    <w:rsid w:val="00116EC0"/>
    <w:rsid w:val="00121CCD"/>
    <w:rsid w:val="00122011"/>
    <w:rsid w:val="00122AAA"/>
    <w:rsid w:val="00123F96"/>
    <w:rsid w:val="001245A7"/>
    <w:rsid w:val="00126EBC"/>
    <w:rsid w:val="00127D33"/>
    <w:rsid w:val="0013187A"/>
    <w:rsid w:val="00132D81"/>
    <w:rsid w:val="00133516"/>
    <w:rsid w:val="0013447D"/>
    <w:rsid w:val="00137D8C"/>
    <w:rsid w:val="00141C56"/>
    <w:rsid w:val="0014437B"/>
    <w:rsid w:val="00145050"/>
    <w:rsid w:val="00145303"/>
    <w:rsid w:val="001476AD"/>
    <w:rsid w:val="001513C9"/>
    <w:rsid w:val="00153AAA"/>
    <w:rsid w:val="0016018A"/>
    <w:rsid w:val="001621D8"/>
    <w:rsid w:val="00170C1F"/>
    <w:rsid w:val="00171B0B"/>
    <w:rsid w:val="001723E3"/>
    <w:rsid w:val="0017332C"/>
    <w:rsid w:val="001753F8"/>
    <w:rsid w:val="00175C5D"/>
    <w:rsid w:val="00175E88"/>
    <w:rsid w:val="001769ED"/>
    <w:rsid w:val="0018040F"/>
    <w:rsid w:val="00180C15"/>
    <w:rsid w:val="00180E0E"/>
    <w:rsid w:val="0018464A"/>
    <w:rsid w:val="00185525"/>
    <w:rsid w:val="001875AE"/>
    <w:rsid w:val="0019111B"/>
    <w:rsid w:val="001922C9"/>
    <w:rsid w:val="0019601E"/>
    <w:rsid w:val="001A0326"/>
    <w:rsid w:val="001A3E10"/>
    <w:rsid w:val="001A4418"/>
    <w:rsid w:val="001A4909"/>
    <w:rsid w:val="001B161B"/>
    <w:rsid w:val="001B4CFD"/>
    <w:rsid w:val="001B5643"/>
    <w:rsid w:val="001B56FE"/>
    <w:rsid w:val="001B5C96"/>
    <w:rsid w:val="001B65C9"/>
    <w:rsid w:val="001B67A0"/>
    <w:rsid w:val="001B7485"/>
    <w:rsid w:val="001B7FC5"/>
    <w:rsid w:val="001C072C"/>
    <w:rsid w:val="001C24D7"/>
    <w:rsid w:val="001C3DD9"/>
    <w:rsid w:val="001C41FB"/>
    <w:rsid w:val="001C4DA6"/>
    <w:rsid w:val="001C6439"/>
    <w:rsid w:val="001C7194"/>
    <w:rsid w:val="001D0155"/>
    <w:rsid w:val="001D0F25"/>
    <w:rsid w:val="001D290E"/>
    <w:rsid w:val="001D40B6"/>
    <w:rsid w:val="001E0A10"/>
    <w:rsid w:val="001E248A"/>
    <w:rsid w:val="001E26CB"/>
    <w:rsid w:val="001E3C7A"/>
    <w:rsid w:val="001E3D07"/>
    <w:rsid w:val="001E44D6"/>
    <w:rsid w:val="001E4F78"/>
    <w:rsid w:val="001E5BB0"/>
    <w:rsid w:val="001F186B"/>
    <w:rsid w:val="001F4DA1"/>
    <w:rsid w:val="001F5A80"/>
    <w:rsid w:val="00200D70"/>
    <w:rsid w:val="00204A7D"/>
    <w:rsid w:val="00204D53"/>
    <w:rsid w:val="002055CA"/>
    <w:rsid w:val="00207238"/>
    <w:rsid w:val="00207B0D"/>
    <w:rsid w:val="002107EB"/>
    <w:rsid w:val="0021251C"/>
    <w:rsid w:val="002153F1"/>
    <w:rsid w:val="00216096"/>
    <w:rsid w:val="00217714"/>
    <w:rsid w:val="00217CC6"/>
    <w:rsid w:val="002206D3"/>
    <w:rsid w:val="002212CD"/>
    <w:rsid w:val="00224F7D"/>
    <w:rsid w:val="0022536E"/>
    <w:rsid w:val="002253D5"/>
    <w:rsid w:val="0022657E"/>
    <w:rsid w:val="00230A8D"/>
    <w:rsid w:val="0023105E"/>
    <w:rsid w:val="00236096"/>
    <w:rsid w:val="002364F5"/>
    <w:rsid w:val="00241317"/>
    <w:rsid w:val="0024183E"/>
    <w:rsid w:val="00244B48"/>
    <w:rsid w:val="00255179"/>
    <w:rsid w:val="00257D31"/>
    <w:rsid w:val="002601E5"/>
    <w:rsid w:val="00261117"/>
    <w:rsid w:val="00261D09"/>
    <w:rsid w:val="00261D50"/>
    <w:rsid w:val="00262A8B"/>
    <w:rsid w:val="002633AB"/>
    <w:rsid w:val="0026476E"/>
    <w:rsid w:val="002705B7"/>
    <w:rsid w:val="00271170"/>
    <w:rsid w:val="002716BB"/>
    <w:rsid w:val="00272922"/>
    <w:rsid w:val="002736E1"/>
    <w:rsid w:val="00274604"/>
    <w:rsid w:val="00276F32"/>
    <w:rsid w:val="00280272"/>
    <w:rsid w:val="00283150"/>
    <w:rsid w:val="00283CA6"/>
    <w:rsid w:val="00283FA8"/>
    <w:rsid w:val="00284936"/>
    <w:rsid w:val="0028503B"/>
    <w:rsid w:val="0028711F"/>
    <w:rsid w:val="0029086C"/>
    <w:rsid w:val="00291639"/>
    <w:rsid w:val="002942E3"/>
    <w:rsid w:val="00294982"/>
    <w:rsid w:val="00295670"/>
    <w:rsid w:val="0029574B"/>
    <w:rsid w:val="00297E78"/>
    <w:rsid w:val="002A210C"/>
    <w:rsid w:val="002A3978"/>
    <w:rsid w:val="002A4786"/>
    <w:rsid w:val="002A5F91"/>
    <w:rsid w:val="002A7A47"/>
    <w:rsid w:val="002B2417"/>
    <w:rsid w:val="002B2FAD"/>
    <w:rsid w:val="002B57E1"/>
    <w:rsid w:val="002B65C4"/>
    <w:rsid w:val="002B65D3"/>
    <w:rsid w:val="002B78C0"/>
    <w:rsid w:val="002C1766"/>
    <w:rsid w:val="002C4584"/>
    <w:rsid w:val="002C6683"/>
    <w:rsid w:val="002C74AE"/>
    <w:rsid w:val="002D2619"/>
    <w:rsid w:val="002D3ADE"/>
    <w:rsid w:val="002D3D8B"/>
    <w:rsid w:val="002D4505"/>
    <w:rsid w:val="002D5055"/>
    <w:rsid w:val="002D5F83"/>
    <w:rsid w:val="002D60C0"/>
    <w:rsid w:val="002D6B85"/>
    <w:rsid w:val="002E0290"/>
    <w:rsid w:val="002E0F82"/>
    <w:rsid w:val="002E19D1"/>
    <w:rsid w:val="002E3D05"/>
    <w:rsid w:val="002E4806"/>
    <w:rsid w:val="002E51BD"/>
    <w:rsid w:val="002E6114"/>
    <w:rsid w:val="002E665D"/>
    <w:rsid w:val="002F088F"/>
    <w:rsid w:val="002F0A2B"/>
    <w:rsid w:val="002F0A70"/>
    <w:rsid w:val="002F121F"/>
    <w:rsid w:val="002F193E"/>
    <w:rsid w:val="002F2B29"/>
    <w:rsid w:val="002F50CE"/>
    <w:rsid w:val="002F6AD9"/>
    <w:rsid w:val="00300F26"/>
    <w:rsid w:val="003052CD"/>
    <w:rsid w:val="00306C84"/>
    <w:rsid w:val="003100EF"/>
    <w:rsid w:val="0031237A"/>
    <w:rsid w:val="00313265"/>
    <w:rsid w:val="0032044A"/>
    <w:rsid w:val="0032140C"/>
    <w:rsid w:val="00322287"/>
    <w:rsid w:val="003252FC"/>
    <w:rsid w:val="00325724"/>
    <w:rsid w:val="00325CE4"/>
    <w:rsid w:val="00326591"/>
    <w:rsid w:val="00331547"/>
    <w:rsid w:val="003327F3"/>
    <w:rsid w:val="00332B16"/>
    <w:rsid w:val="00332E00"/>
    <w:rsid w:val="00334F01"/>
    <w:rsid w:val="003351A2"/>
    <w:rsid w:val="00337DF7"/>
    <w:rsid w:val="00341FFA"/>
    <w:rsid w:val="00342610"/>
    <w:rsid w:val="003468DD"/>
    <w:rsid w:val="00347DB5"/>
    <w:rsid w:val="00347F60"/>
    <w:rsid w:val="00347F92"/>
    <w:rsid w:val="0035256F"/>
    <w:rsid w:val="00352DEF"/>
    <w:rsid w:val="00353710"/>
    <w:rsid w:val="00353D3B"/>
    <w:rsid w:val="003543C9"/>
    <w:rsid w:val="003551C5"/>
    <w:rsid w:val="0035613B"/>
    <w:rsid w:val="003569D1"/>
    <w:rsid w:val="0036059A"/>
    <w:rsid w:val="00363558"/>
    <w:rsid w:val="003638F5"/>
    <w:rsid w:val="00363C83"/>
    <w:rsid w:val="00366464"/>
    <w:rsid w:val="00370A5E"/>
    <w:rsid w:val="003730AD"/>
    <w:rsid w:val="00374D9A"/>
    <w:rsid w:val="00374F4C"/>
    <w:rsid w:val="00375790"/>
    <w:rsid w:val="003805AE"/>
    <w:rsid w:val="00386395"/>
    <w:rsid w:val="0039029A"/>
    <w:rsid w:val="003909CC"/>
    <w:rsid w:val="00391463"/>
    <w:rsid w:val="003952F3"/>
    <w:rsid w:val="0039590A"/>
    <w:rsid w:val="003A011A"/>
    <w:rsid w:val="003A048D"/>
    <w:rsid w:val="003A06D1"/>
    <w:rsid w:val="003A1A42"/>
    <w:rsid w:val="003A37A6"/>
    <w:rsid w:val="003A45EF"/>
    <w:rsid w:val="003A4DC7"/>
    <w:rsid w:val="003A50E4"/>
    <w:rsid w:val="003A5644"/>
    <w:rsid w:val="003A705D"/>
    <w:rsid w:val="003B1A36"/>
    <w:rsid w:val="003B1E2C"/>
    <w:rsid w:val="003B36F6"/>
    <w:rsid w:val="003B4A48"/>
    <w:rsid w:val="003B799D"/>
    <w:rsid w:val="003C052A"/>
    <w:rsid w:val="003C2725"/>
    <w:rsid w:val="003C49E4"/>
    <w:rsid w:val="003D2A64"/>
    <w:rsid w:val="003D36B0"/>
    <w:rsid w:val="003D46A4"/>
    <w:rsid w:val="003D4DDA"/>
    <w:rsid w:val="003D5D48"/>
    <w:rsid w:val="003D7324"/>
    <w:rsid w:val="003D79A1"/>
    <w:rsid w:val="003E1FAD"/>
    <w:rsid w:val="003E6F90"/>
    <w:rsid w:val="003E742C"/>
    <w:rsid w:val="003E7E4B"/>
    <w:rsid w:val="003F2FA6"/>
    <w:rsid w:val="003F363C"/>
    <w:rsid w:val="003F422B"/>
    <w:rsid w:val="003F43A5"/>
    <w:rsid w:val="003F5DCD"/>
    <w:rsid w:val="003F76C9"/>
    <w:rsid w:val="004003DD"/>
    <w:rsid w:val="004013EA"/>
    <w:rsid w:val="004034E8"/>
    <w:rsid w:val="004044C5"/>
    <w:rsid w:val="00405966"/>
    <w:rsid w:val="00411A7A"/>
    <w:rsid w:val="0041798F"/>
    <w:rsid w:val="00417BBA"/>
    <w:rsid w:val="0042020B"/>
    <w:rsid w:val="00420C19"/>
    <w:rsid w:val="00420DD2"/>
    <w:rsid w:val="00427178"/>
    <w:rsid w:val="004275C0"/>
    <w:rsid w:val="004320D7"/>
    <w:rsid w:val="004322F5"/>
    <w:rsid w:val="00432816"/>
    <w:rsid w:val="00435AED"/>
    <w:rsid w:val="00437170"/>
    <w:rsid w:val="00437EF9"/>
    <w:rsid w:val="00440550"/>
    <w:rsid w:val="00440A8A"/>
    <w:rsid w:val="0044320D"/>
    <w:rsid w:val="00443AEC"/>
    <w:rsid w:val="00445D29"/>
    <w:rsid w:val="00450008"/>
    <w:rsid w:val="0045384B"/>
    <w:rsid w:val="00454CEA"/>
    <w:rsid w:val="00460369"/>
    <w:rsid w:val="0046086E"/>
    <w:rsid w:val="00466664"/>
    <w:rsid w:val="00466893"/>
    <w:rsid w:val="00466D62"/>
    <w:rsid w:val="00476628"/>
    <w:rsid w:val="0048168F"/>
    <w:rsid w:val="004819CE"/>
    <w:rsid w:val="00481E72"/>
    <w:rsid w:val="004862E4"/>
    <w:rsid w:val="0048741C"/>
    <w:rsid w:val="00487851"/>
    <w:rsid w:val="00491187"/>
    <w:rsid w:val="00491493"/>
    <w:rsid w:val="0049215E"/>
    <w:rsid w:val="004956DA"/>
    <w:rsid w:val="00497B6F"/>
    <w:rsid w:val="00497BFF"/>
    <w:rsid w:val="00497E10"/>
    <w:rsid w:val="004A095E"/>
    <w:rsid w:val="004A0BEF"/>
    <w:rsid w:val="004A35D6"/>
    <w:rsid w:val="004A6ECE"/>
    <w:rsid w:val="004A7289"/>
    <w:rsid w:val="004B0192"/>
    <w:rsid w:val="004B0C24"/>
    <w:rsid w:val="004B3D96"/>
    <w:rsid w:val="004B6E41"/>
    <w:rsid w:val="004B75BB"/>
    <w:rsid w:val="004C1010"/>
    <w:rsid w:val="004C1200"/>
    <w:rsid w:val="004C15F6"/>
    <w:rsid w:val="004C1D21"/>
    <w:rsid w:val="004C1EF5"/>
    <w:rsid w:val="004C2910"/>
    <w:rsid w:val="004C316F"/>
    <w:rsid w:val="004C48CE"/>
    <w:rsid w:val="004C54F2"/>
    <w:rsid w:val="004C5639"/>
    <w:rsid w:val="004C6831"/>
    <w:rsid w:val="004C6B37"/>
    <w:rsid w:val="004C7C36"/>
    <w:rsid w:val="004D0067"/>
    <w:rsid w:val="004D2058"/>
    <w:rsid w:val="004D31FC"/>
    <w:rsid w:val="004D4A79"/>
    <w:rsid w:val="004D637C"/>
    <w:rsid w:val="004D658C"/>
    <w:rsid w:val="004D7F9C"/>
    <w:rsid w:val="004E0DF8"/>
    <w:rsid w:val="004E0F67"/>
    <w:rsid w:val="004E114D"/>
    <w:rsid w:val="004E1651"/>
    <w:rsid w:val="004E33B7"/>
    <w:rsid w:val="004E486B"/>
    <w:rsid w:val="004E4C67"/>
    <w:rsid w:val="004E50E6"/>
    <w:rsid w:val="004E5E1B"/>
    <w:rsid w:val="004E627A"/>
    <w:rsid w:val="004E6AA6"/>
    <w:rsid w:val="004E6D48"/>
    <w:rsid w:val="004E766A"/>
    <w:rsid w:val="004E7F39"/>
    <w:rsid w:val="004F20A6"/>
    <w:rsid w:val="004F2C7E"/>
    <w:rsid w:val="004F30F4"/>
    <w:rsid w:val="004F442C"/>
    <w:rsid w:val="004F5DA1"/>
    <w:rsid w:val="004F682F"/>
    <w:rsid w:val="00500126"/>
    <w:rsid w:val="00500A5F"/>
    <w:rsid w:val="00501DF0"/>
    <w:rsid w:val="0050332F"/>
    <w:rsid w:val="00504734"/>
    <w:rsid w:val="00504E7C"/>
    <w:rsid w:val="005060E2"/>
    <w:rsid w:val="0050702B"/>
    <w:rsid w:val="005107AB"/>
    <w:rsid w:val="00513A9C"/>
    <w:rsid w:val="00513F0A"/>
    <w:rsid w:val="0051500F"/>
    <w:rsid w:val="005154EA"/>
    <w:rsid w:val="00521450"/>
    <w:rsid w:val="0052538F"/>
    <w:rsid w:val="00526030"/>
    <w:rsid w:val="005316D2"/>
    <w:rsid w:val="00532B7C"/>
    <w:rsid w:val="00536304"/>
    <w:rsid w:val="00536E64"/>
    <w:rsid w:val="00537732"/>
    <w:rsid w:val="00537B58"/>
    <w:rsid w:val="00544052"/>
    <w:rsid w:val="005455F6"/>
    <w:rsid w:val="00550608"/>
    <w:rsid w:val="005507D9"/>
    <w:rsid w:val="00552CF7"/>
    <w:rsid w:val="00553BD4"/>
    <w:rsid w:val="00554FFF"/>
    <w:rsid w:val="00556128"/>
    <w:rsid w:val="00556150"/>
    <w:rsid w:val="005563B9"/>
    <w:rsid w:val="00560FA4"/>
    <w:rsid w:val="00571E08"/>
    <w:rsid w:val="00573480"/>
    <w:rsid w:val="00574F96"/>
    <w:rsid w:val="00575482"/>
    <w:rsid w:val="00575934"/>
    <w:rsid w:val="00575A0B"/>
    <w:rsid w:val="00580850"/>
    <w:rsid w:val="00582121"/>
    <w:rsid w:val="00585A51"/>
    <w:rsid w:val="00586964"/>
    <w:rsid w:val="00587A64"/>
    <w:rsid w:val="00590778"/>
    <w:rsid w:val="005908A9"/>
    <w:rsid w:val="00593A8C"/>
    <w:rsid w:val="00595D44"/>
    <w:rsid w:val="005A0F2E"/>
    <w:rsid w:val="005A103E"/>
    <w:rsid w:val="005A2C07"/>
    <w:rsid w:val="005A39CF"/>
    <w:rsid w:val="005A405D"/>
    <w:rsid w:val="005B0311"/>
    <w:rsid w:val="005B2213"/>
    <w:rsid w:val="005B296C"/>
    <w:rsid w:val="005B3F04"/>
    <w:rsid w:val="005B5036"/>
    <w:rsid w:val="005B5962"/>
    <w:rsid w:val="005B71D6"/>
    <w:rsid w:val="005B7BB5"/>
    <w:rsid w:val="005C084D"/>
    <w:rsid w:val="005C0E53"/>
    <w:rsid w:val="005C1E2B"/>
    <w:rsid w:val="005C46EA"/>
    <w:rsid w:val="005C5022"/>
    <w:rsid w:val="005C7773"/>
    <w:rsid w:val="005C7F51"/>
    <w:rsid w:val="005D1CED"/>
    <w:rsid w:val="005D4F99"/>
    <w:rsid w:val="005D5942"/>
    <w:rsid w:val="005D6AE6"/>
    <w:rsid w:val="005D6AF5"/>
    <w:rsid w:val="005D6BD0"/>
    <w:rsid w:val="005E0DDD"/>
    <w:rsid w:val="005E143E"/>
    <w:rsid w:val="005E2298"/>
    <w:rsid w:val="005E2867"/>
    <w:rsid w:val="005E3B84"/>
    <w:rsid w:val="005E497E"/>
    <w:rsid w:val="005E51CA"/>
    <w:rsid w:val="005E6DF1"/>
    <w:rsid w:val="005E703A"/>
    <w:rsid w:val="005F1631"/>
    <w:rsid w:val="005F3967"/>
    <w:rsid w:val="005F3CDD"/>
    <w:rsid w:val="005F596D"/>
    <w:rsid w:val="005F6D3A"/>
    <w:rsid w:val="005F6D89"/>
    <w:rsid w:val="005F720A"/>
    <w:rsid w:val="006017CA"/>
    <w:rsid w:val="0060291B"/>
    <w:rsid w:val="00604AC3"/>
    <w:rsid w:val="00606EB2"/>
    <w:rsid w:val="0061163A"/>
    <w:rsid w:val="00617C6D"/>
    <w:rsid w:val="00617F07"/>
    <w:rsid w:val="00620C5C"/>
    <w:rsid w:val="0062106F"/>
    <w:rsid w:val="00624E6F"/>
    <w:rsid w:val="006264ED"/>
    <w:rsid w:val="006269CF"/>
    <w:rsid w:val="0062797C"/>
    <w:rsid w:val="006301A7"/>
    <w:rsid w:val="00634BA9"/>
    <w:rsid w:val="006354D5"/>
    <w:rsid w:val="0063571B"/>
    <w:rsid w:val="0063597C"/>
    <w:rsid w:val="00641D38"/>
    <w:rsid w:val="0064446C"/>
    <w:rsid w:val="00644AFB"/>
    <w:rsid w:val="00653D96"/>
    <w:rsid w:val="0066099E"/>
    <w:rsid w:val="0066184F"/>
    <w:rsid w:val="006626D0"/>
    <w:rsid w:val="006636A0"/>
    <w:rsid w:val="00663A96"/>
    <w:rsid w:val="0066408F"/>
    <w:rsid w:val="00664B34"/>
    <w:rsid w:val="00665A61"/>
    <w:rsid w:val="006667DD"/>
    <w:rsid w:val="006736E7"/>
    <w:rsid w:val="00676267"/>
    <w:rsid w:val="00676B7A"/>
    <w:rsid w:val="00677D7B"/>
    <w:rsid w:val="00680824"/>
    <w:rsid w:val="0068119A"/>
    <w:rsid w:val="00681F8D"/>
    <w:rsid w:val="00682CA1"/>
    <w:rsid w:val="00683D5D"/>
    <w:rsid w:val="0068455F"/>
    <w:rsid w:val="00685959"/>
    <w:rsid w:val="00691834"/>
    <w:rsid w:val="00693FFD"/>
    <w:rsid w:val="00694B8F"/>
    <w:rsid w:val="00694F28"/>
    <w:rsid w:val="006A0099"/>
    <w:rsid w:val="006A2E35"/>
    <w:rsid w:val="006A3647"/>
    <w:rsid w:val="006A4A3A"/>
    <w:rsid w:val="006A4E04"/>
    <w:rsid w:val="006A5D14"/>
    <w:rsid w:val="006B1E60"/>
    <w:rsid w:val="006B1FE8"/>
    <w:rsid w:val="006B2707"/>
    <w:rsid w:val="006B4C40"/>
    <w:rsid w:val="006B7333"/>
    <w:rsid w:val="006B757E"/>
    <w:rsid w:val="006C0C9A"/>
    <w:rsid w:val="006C250D"/>
    <w:rsid w:val="006C2518"/>
    <w:rsid w:val="006C32C4"/>
    <w:rsid w:val="006C4B81"/>
    <w:rsid w:val="006D21AD"/>
    <w:rsid w:val="006D3666"/>
    <w:rsid w:val="006D632E"/>
    <w:rsid w:val="006D7105"/>
    <w:rsid w:val="006E4B4F"/>
    <w:rsid w:val="006E5464"/>
    <w:rsid w:val="006F2BFC"/>
    <w:rsid w:val="006F36A1"/>
    <w:rsid w:val="006F3783"/>
    <w:rsid w:val="006F5069"/>
    <w:rsid w:val="006F58E3"/>
    <w:rsid w:val="00701ABC"/>
    <w:rsid w:val="007026A0"/>
    <w:rsid w:val="00702D8E"/>
    <w:rsid w:val="00703196"/>
    <w:rsid w:val="00703C63"/>
    <w:rsid w:val="00703DC5"/>
    <w:rsid w:val="00704F6C"/>
    <w:rsid w:val="00705C70"/>
    <w:rsid w:val="00705E69"/>
    <w:rsid w:val="00706528"/>
    <w:rsid w:val="0071051A"/>
    <w:rsid w:val="0071092A"/>
    <w:rsid w:val="00713B12"/>
    <w:rsid w:val="00715165"/>
    <w:rsid w:val="00717FEF"/>
    <w:rsid w:val="007214FD"/>
    <w:rsid w:val="00721D63"/>
    <w:rsid w:val="0072676C"/>
    <w:rsid w:val="00726CF0"/>
    <w:rsid w:val="007270AB"/>
    <w:rsid w:val="00730BEF"/>
    <w:rsid w:val="00732E45"/>
    <w:rsid w:val="00733BFC"/>
    <w:rsid w:val="00737540"/>
    <w:rsid w:val="00737617"/>
    <w:rsid w:val="00740299"/>
    <w:rsid w:val="007406C1"/>
    <w:rsid w:val="00740D9F"/>
    <w:rsid w:val="0074327E"/>
    <w:rsid w:val="00747156"/>
    <w:rsid w:val="0074751B"/>
    <w:rsid w:val="00760745"/>
    <w:rsid w:val="00763583"/>
    <w:rsid w:val="00765752"/>
    <w:rsid w:val="007658B4"/>
    <w:rsid w:val="00767976"/>
    <w:rsid w:val="007705EC"/>
    <w:rsid w:val="0077085C"/>
    <w:rsid w:val="00772841"/>
    <w:rsid w:val="007741B3"/>
    <w:rsid w:val="007741D7"/>
    <w:rsid w:val="00774BE7"/>
    <w:rsid w:val="00776855"/>
    <w:rsid w:val="00780FC3"/>
    <w:rsid w:val="0078232C"/>
    <w:rsid w:val="007824F5"/>
    <w:rsid w:val="007843AC"/>
    <w:rsid w:val="00784B14"/>
    <w:rsid w:val="007868C8"/>
    <w:rsid w:val="00790012"/>
    <w:rsid w:val="00792373"/>
    <w:rsid w:val="00792CD5"/>
    <w:rsid w:val="00794236"/>
    <w:rsid w:val="007A26D2"/>
    <w:rsid w:val="007A2BBB"/>
    <w:rsid w:val="007A2C34"/>
    <w:rsid w:val="007A326D"/>
    <w:rsid w:val="007A41A6"/>
    <w:rsid w:val="007A79F0"/>
    <w:rsid w:val="007A7B29"/>
    <w:rsid w:val="007B3184"/>
    <w:rsid w:val="007B38CF"/>
    <w:rsid w:val="007B7F2E"/>
    <w:rsid w:val="007C3923"/>
    <w:rsid w:val="007C4347"/>
    <w:rsid w:val="007C528F"/>
    <w:rsid w:val="007C5728"/>
    <w:rsid w:val="007C6B72"/>
    <w:rsid w:val="007C7B1F"/>
    <w:rsid w:val="007D3C8D"/>
    <w:rsid w:val="007D78A2"/>
    <w:rsid w:val="007E07D2"/>
    <w:rsid w:val="007E1383"/>
    <w:rsid w:val="007E2769"/>
    <w:rsid w:val="007E2F2F"/>
    <w:rsid w:val="007E56CE"/>
    <w:rsid w:val="007F2942"/>
    <w:rsid w:val="007F3695"/>
    <w:rsid w:val="007F4EF0"/>
    <w:rsid w:val="007F61BD"/>
    <w:rsid w:val="007F723E"/>
    <w:rsid w:val="007F73BA"/>
    <w:rsid w:val="007F78B9"/>
    <w:rsid w:val="00800E82"/>
    <w:rsid w:val="0080315E"/>
    <w:rsid w:val="0080414D"/>
    <w:rsid w:val="0080417E"/>
    <w:rsid w:val="008071DE"/>
    <w:rsid w:val="00807443"/>
    <w:rsid w:val="0081016D"/>
    <w:rsid w:val="00810998"/>
    <w:rsid w:val="00811105"/>
    <w:rsid w:val="00812AD3"/>
    <w:rsid w:val="0081345F"/>
    <w:rsid w:val="008167DD"/>
    <w:rsid w:val="00817B39"/>
    <w:rsid w:val="00817D92"/>
    <w:rsid w:val="00820CFC"/>
    <w:rsid w:val="00822C6B"/>
    <w:rsid w:val="008233EB"/>
    <w:rsid w:val="008235BE"/>
    <w:rsid w:val="00824CF2"/>
    <w:rsid w:val="00826588"/>
    <w:rsid w:val="00830C56"/>
    <w:rsid w:val="00831B39"/>
    <w:rsid w:val="00831F8E"/>
    <w:rsid w:val="0083236C"/>
    <w:rsid w:val="00835D38"/>
    <w:rsid w:val="00836EF9"/>
    <w:rsid w:val="00837534"/>
    <w:rsid w:val="00837928"/>
    <w:rsid w:val="00843EBB"/>
    <w:rsid w:val="00844FBF"/>
    <w:rsid w:val="00852247"/>
    <w:rsid w:val="00852931"/>
    <w:rsid w:val="00852F15"/>
    <w:rsid w:val="008535B4"/>
    <w:rsid w:val="0085732B"/>
    <w:rsid w:val="00857AD9"/>
    <w:rsid w:val="008606AD"/>
    <w:rsid w:val="008624F4"/>
    <w:rsid w:val="008644D1"/>
    <w:rsid w:val="00865721"/>
    <w:rsid w:val="00871736"/>
    <w:rsid w:val="00873151"/>
    <w:rsid w:val="00876F4F"/>
    <w:rsid w:val="008807DF"/>
    <w:rsid w:val="00882C2B"/>
    <w:rsid w:val="0088485A"/>
    <w:rsid w:val="0088623F"/>
    <w:rsid w:val="00891738"/>
    <w:rsid w:val="00891A94"/>
    <w:rsid w:val="00891E67"/>
    <w:rsid w:val="008930FA"/>
    <w:rsid w:val="00894EB5"/>
    <w:rsid w:val="00895CC1"/>
    <w:rsid w:val="00896DBD"/>
    <w:rsid w:val="008A0807"/>
    <w:rsid w:val="008A269D"/>
    <w:rsid w:val="008A52F5"/>
    <w:rsid w:val="008A6B69"/>
    <w:rsid w:val="008B0D22"/>
    <w:rsid w:val="008B2E4C"/>
    <w:rsid w:val="008B2E99"/>
    <w:rsid w:val="008B336C"/>
    <w:rsid w:val="008B4B72"/>
    <w:rsid w:val="008B4EB7"/>
    <w:rsid w:val="008B651C"/>
    <w:rsid w:val="008C06E5"/>
    <w:rsid w:val="008C2029"/>
    <w:rsid w:val="008C2F00"/>
    <w:rsid w:val="008C68E5"/>
    <w:rsid w:val="008C7314"/>
    <w:rsid w:val="008D0556"/>
    <w:rsid w:val="008D0A1F"/>
    <w:rsid w:val="008D170F"/>
    <w:rsid w:val="008D3BB5"/>
    <w:rsid w:val="008D4131"/>
    <w:rsid w:val="008D53B8"/>
    <w:rsid w:val="008D7F3E"/>
    <w:rsid w:val="008E22BC"/>
    <w:rsid w:val="008E3FAE"/>
    <w:rsid w:val="008E5334"/>
    <w:rsid w:val="008E5EF6"/>
    <w:rsid w:val="008E73F3"/>
    <w:rsid w:val="008E7A6D"/>
    <w:rsid w:val="008F0426"/>
    <w:rsid w:val="008F0637"/>
    <w:rsid w:val="008F0AB0"/>
    <w:rsid w:val="008F11B2"/>
    <w:rsid w:val="008F44F8"/>
    <w:rsid w:val="008F4AE4"/>
    <w:rsid w:val="008F532E"/>
    <w:rsid w:val="008F6C9D"/>
    <w:rsid w:val="008F7C98"/>
    <w:rsid w:val="00900A4B"/>
    <w:rsid w:val="00912803"/>
    <w:rsid w:val="0091341D"/>
    <w:rsid w:val="00913A6E"/>
    <w:rsid w:val="00914306"/>
    <w:rsid w:val="00915678"/>
    <w:rsid w:val="00915F70"/>
    <w:rsid w:val="00916989"/>
    <w:rsid w:val="009203C6"/>
    <w:rsid w:val="0092116E"/>
    <w:rsid w:val="009224DC"/>
    <w:rsid w:val="0092568F"/>
    <w:rsid w:val="00925BC3"/>
    <w:rsid w:val="009267CA"/>
    <w:rsid w:val="009271A2"/>
    <w:rsid w:val="0093178C"/>
    <w:rsid w:val="00933A32"/>
    <w:rsid w:val="00935CB4"/>
    <w:rsid w:val="00936011"/>
    <w:rsid w:val="00936073"/>
    <w:rsid w:val="00937EB0"/>
    <w:rsid w:val="00941E01"/>
    <w:rsid w:val="00944AAF"/>
    <w:rsid w:val="0094584A"/>
    <w:rsid w:val="0094779A"/>
    <w:rsid w:val="00947FA8"/>
    <w:rsid w:val="00951275"/>
    <w:rsid w:val="009526F8"/>
    <w:rsid w:val="0095284D"/>
    <w:rsid w:val="00952F92"/>
    <w:rsid w:val="00953E61"/>
    <w:rsid w:val="00954246"/>
    <w:rsid w:val="009545F0"/>
    <w:rsid w:val="00957538"/>
    <w:rsid w:val="00957BC2"/>
    <w:rsid w:val="0096674C"/>
    <w:rsid w:val="00966799"/>
    <w:rsid w:val="009675E9"/>
    <w:rsid w:val="00972847"/>
    <w:rsid w:val="00972C7A"/>
    <w:rsid w:val="00973D2B"/>
    <w:rsid w:val="009749B3"/>
    <w:rsid w:val="00975260"/>
    <w:rsid w:val="009757CF"/>
    <w:rsid w:val="0097608C"/>
    <w:rsid w:val="0098092C"/>
    <w:rsid w:val="00982D09"/>
    <w:rsid w:val="00984BBE"/>
    <w:rsid w:val="00985FCB"/>
    <w:rsid w:val="0098677F"/>
    <w:rsid w:val="00990AD4"/>
    <w:rsid w:val="00991360"/>
    <w:rsid w:val="00991DE9"/>
    <w:rsid w:val="00992946"/>
    <w:rsid w:val="00995E11"/>
    <w:rsid w:val="009960CF"/>
    <w:rsid w:val="009962F2"/>
    <w:rsid w:val="00997F45"/>
    <w:rsid w:val="009A0A6C"/>
    <w:rsid w:val="009A13AE"/>
    <w:rsid w:val="009A219F"/>
    <w:rsid w:val="009A4DAE"/>
    <w:rsid w:val="009A63FE"/>
    <w:rsid w:val="009B0651"/>
    <w:rsid w:val="009B0E36"/>
    <w:rsid w:val="009B1A10"/>
    <w:rsid w:val="009B24AA"/>
    <w:rsid w:val="009B3705"/>
    <w:rsid w:val="009B4C90"/>
    <w:rsid w:val="009B665E"/>
    <w:rsid w:val="009B68FB"/>
    <w:rsid w:val="009C19C6"/>
    <w:rsid w:val="009C26B8"/>
    <w:rsid w:val="009C4384"/>
    <w:rsid w:val="009C5EAD"/>
    <w:rsid w:val="009C75E0"/>
    <w:rsid w:val="009D0F80"/>
    <w:rsid w:val="009D15C5"/>
    <w:rsid w:val="009D177E"/>
    <w:rsid w:val="009D3070"/>
    <w:rsid w:val="009D3339"/>
    <w:rsid w:val="009D3DCA"/>
    <w:rsid w:val="009E030A"/>
    <w:rsid w:val="009E0B97"/>
    <w:rsid w:val="009E330E"/>
    <w:rsid w:val="009E3320"/>
    <w:rsid w:val="009E62F3"/>
    <w:rsid w:val="009F0E04"/>
    <w:rsid w:val="009F13CF"/>
    <w:rsid w:val="009F44FC"/>
    <w:rsid w:val="009F7FA4"/>
    <w:rsid w:val="00A02861"/>
    <w:rsid w:val="00A04DFB"/>
    <w:rsid w:val="00A06E1E"/>
    <w:rsid w:val="00A07A9E"/>
    <w:rsid w:val="00A11076"/>
    <w:rsid w:val="00A114F4"/>
    <w:rsid w:val="00A12949"/>
    <w:rsid w:val="00A13B9F"/>
    <w:rsid w:val="00A1497A"/>
    <w:rsid w:val="00A14C9B"/>
    <w:rsid w:val="00A14D45"/>
    <w:rsid w:val="00A176FE"/>
    <w:rsid w:val="00A17F94"/>
    <w:rsid w:val="00A23533"/>
    <w:rsid w:val="00A23CC4"/>
    <w:rsid w:val="00A23EDC"/>
    <w:rsid w:val="00A23EF0"/>
    <w:rsid w:val="00A24B1A"/>
    <w:rsid w:val="00A26037"/>
    <w:rsid w:val="00A27C78"/>
    <w:rsid w:val="00A30537"/>
    <w:rsid w:val="00A315DF"/>
    <w:rsid w:val="00A31C73"/>
    <w:rsid w:val="00A32C09"/>
    <w:rsid w:val="00A33404"/>
    <w:rsid w:val="00A33D8F"/>
    <w:rsid w:val="00A341E8"/>
    <w:rsid w:val="00A34970"/>
    <w:rsid w:val="00A42B28"/>
    <w:rsid w:val="00A435F8"/>
    <w:rsid w:val="00A43CD9"/>
    <w:rsid w:val="00A515E8"/>
    <w:rsid w:val="00A51F69"/>
    <w:rsid w:val="00A52391"/>
    <w:rsid w:val="00A55510"/>
    <w:rsid w:val="00A57067"/>
    <w:rsid w:val="00A60EA3"/>
    <w:rsid w:val="00A612AD"/>
    <w:rsid w:val="00A61ED3"/>
    <w:rsid w:val="00A62FD6"/>
    <w:rsid w:val="00A65D19"/>
    <w:rsid w:val="00A65FDB"/>
    <w:rsid w:val="00A66A21"/>
    <w:rsid w:val="00A70389"/>
    <w:rsid w:val="00A710F7"/>
    <w:rsid w:val="00A71314"/>
    <w:rsid w:val="00A7213E"/>
    <w:rsid w:val="00A777E1"/>
    <w:rsid w:val="00A806A5"/>
    <w:rsid w:val="00A808D2"/>
    <w:rsid w:val="00A85196"/>
    <w:rsid w:val="00A86150"/>
    <w:rsid w:val="00A87020"/>
    <w:rsid w:val="00A900FA"/>
    <w:rsid w:val="00A91505"/>
    <w:rsid w:val="00A917E5"/>
    <w:rsid w:val="00A918A1"/>
    <w:rsid w:val="00A92FA2"/>
    <w:rsid w:val="00A942BE"/>
    <w:rsid w:val="00A95416"/>
    <w:rsid w:val="00A96203"/>
    <w:rsid w:val="00A966A9"/>
    <w:rsid w:val="00AA12B8"/>
    <w:rsid w:val="00AA23A0"/>
    <w:rsid w:val="00AA2C84"/>
    <w:rsid w:val="00AA619B"/>
    <w:rsid w:val="00AA7735"/>
    <w:rsid w:val="00AA7F91"/>
    <w:rsid w:val="00AB00F7"/>
    <w:rsid w:val="00AB1431"/>
    <w:rsid w:val="00AB3CEE"/>
    <w:rsid w:val="00AB4D80"/>
    <w:rsid w:val="00AB750A"/>
    <w:rsid w:val="00AC0FBE"/>
    <w:rsid w:val="00AC406A"/>
    <w:rsid w:val="00AC455C"/>
    <w:rsid w:val="00AC5384"/>
    <w:rsid w:val="00AD0387"/>
    <w:rsid w:val="00AD0500"/>
    <w:rsid w:val="00AD0AFA"/>
    <w:rsid w:val="00AD15A4"/>
    <w:rsid w:val="00AD2153"/>
    <w:rsid w:val="00AD2414"/>
    <w:rsid w:val="00AD5C48"/>
    <w:rsid w:val="00AD62DD"/>
    <w:rsid w:val="00AD689F"/>
    <w:rsid w:val="00AE3DAB"/>
    <w:rsid w:val="00AE3E39"/>
    <w:rsid w:val="00AE543E"/>
    <w:rsid w:val="00AE68B4"/>
    <w:rsid w:val="00AE75CA"/>
    <w:rsid w:val="00AF14C3"/>
    <w:rsid w:val="00AF18CF"/>
    <w:rsid w:val="00AF1A5B"/>
    <w:rsid w:val="00AF6FA5"/>
    <w:rsid w:val="00B0066A"/>
    <w:rsid w:val="00B00840"/>
    <w:rsid w:val="00B00878"/>
    <w:rsid w:val="00B0172D"/>
    <w:rsid w:val="00B057C0"/>
    <w:rsid w:val="00B06D85"/>
    <w:rsid w:val="00B12448"/>
    <w:rsid w:val="00B145DB"/>
    <w:rsid w:val="00B1561D"/>
    <w:rsid w:val="00B162D5"/>
    <w:rsid w:val="00B20948"/>
    <w:rsid w:val="00B2248C"/>
    <w:rsid w:val="00B22641"/>
    <w:rsid w:val="00B24CBE"/>
    <w:rsid w:val="00B25459"/>
    <w:rsid w:val="00B26212"/>
    <w:rsid w:val="00B2777E"/>
    <w:rsid w:val="00B27A4E"/>
    <w:rsid w:val="00B30644"/>
    <w:rsid w:val="00B30B12"/>
    <w:rsid w:val="00B3136E"/>
    <w:rsid w:val="00B31DD2"/>
    <w:rsid w:val="00B33A47"/>
    <w:rsid w:val="00B34D9F"/>
    <w:rsid w:val="00B3521A"/>
    <w:rsid w:val="00B35E50"/>
    <w:rsid w:val="00B37F10"/>
    <w:rsid w:val="00B401AC"/>
    <w:rsid w:val="00B41263"/>
    <w:rsid w:val="00B44543"/>
    <w:rsid w:val="00B50091"/>
    <w:rsid w:val="00B51304"/>
    <w:rsid w:val="00B51F37"/>
    <w:rsid w:val="00B53C4F"/>
    <w:rsid w:val="00B55CA8"/>
    <w:rsid w:val="00B55CF9"/>
    <w:rsid w:val="00B57C89"/>
    <w:rsid w:val="00B63D73"/>
    <w:rsid w:val="00B64ECC"/>
    <w:rsid w:val="00B66E44"/>
    <w:rsid w:val="00B6751E"/>
    <w:rsid w:val="00B718AF"/>
    <w:rsid w:val="00B72078"/>
    <w:rsid w:val="00B72656"/>
    <w:rsid w:val="00B74693"/>
    <w:rsid w:val="00B76444"/>
    <w:rsid w:val="00B8063B"/>
    <w:rsid w:val="00B81E16"/>
    <w:rsid w:val="00B839EE"/>
    <w:rsid w:val="00B84A2A"/>
    <w:rsid w:val="00B872A6"/>
    <w:rsid w:val="00B91907"/>
    <w:rsid w:val="00B91A78"/>
    <w:rsid w:val="00B91ADF"/>
    <w:rsid w:val="00B925FA"/>
    <w:rsid w:val="00B9359D"/>
    <w:rsid w:val="00B94388"/>
    <w:rsid w:val="00B944AA"/>
    <w:rsid w:val="00B946A7"/>
    <w:rsid w:val="00B96FB8"/>
    <w:rsid w:val="00B975AF"/>
    <w:rsid w:val="00BA081E"/>
    <w:rsid w:val="00BA3C35"/>
    <w:rsid w:val="00BA3F62"/>
    <w:rsid w:val="00BA6E89"/>
    <w:rsid w:val="00BA71D6"/>
    <w:rsid w:val="00BA77B2"/>
    <w:rsid w:val="00BB3797"/>
    <w:rsid w:val="00BB493E"/>
    <w:rsid w:val="00BB5436"/>
    <w:rsid w:val="00BB62AB"/>
    <w:rsid w:val="00BB76F0"/>
    <w:rsid w:val="00BC0FC2"/>
    <w:rsid w:val="00BC2336"/>
    <w:rsid w:val="00BC29AF"/>
    <w:rsid w:val="00BC5FE0"/>
    <w:rsid w:val="00BC7A4C"/>
    <w:rsid w:val="00BD0E86"/>
    <w:rsid w:val="00BD1AB0"/>
    <w:rsid w:val="00BD2235"/>
    <w:rsid w:val="00BD5675"/>
    <w:rsid w:val="00BD5A16"/>
    <w:rsid w:val="00BD7377"/>
    <w:rsid w:val="00BE1A3F"/>
    <w:rsid w:val="00BE4C26"/>
    <w:rsid w:val="00BE4F16"/>
    <w:rsid w:val="00BE67E7"/>
    <w:rsid w:val="00BE6E4C"/>
    <w:rsid w:val="00BE709E"/>
    <w:rsid w:val="00BE739F"/>
    <w:rsid w:val="00BF1604"/>
    <w:rsid w:val="00BF17FF"/>
    <w:rsid w:val="00BF4D99"/>
    <w:rsid w:val="00BF67AB"/>
    <w:rsid w:val="00C004DB"/>
    <w:rsid w:val="00C00679"/>
    <w:rsid w:val="00C013F0"/>
    <w:rsid w:val="00C01D4E"/>
    <w:rsid w:val="00C05417"/>
    <w:rsid w:val="00C05754"/>
    <w:rsid w:val="00C12F3A"/>
    <w:rsid w:val="00C12F75"/>
    <w:rsid w:val="00C1301E"/>
    <w:rsid w:val="00C14DE3"/>
    <w:rsid w:val="00C16717"/>
    <w:rsid w:val="00C17A9A"/>
    <w:rsid w:val="00C217DF"/>
    <w:rsid w:val="00C21A1E"/>
    <w:rsid w:val="00C21A69"/>
    <w:rsid w:val="00C22A97"/>
    <w:rsid w:val="00C23E45"/>
    <w:rsid w:val="00C2601E"/>
    <w:rsid w:val="00C2647E"/>
    <w:rsid w:val="00C2708D"/>
    <w:rsid w:val="00C30042"/>
    <w:rsid w:val="00C30190"/>
    <w:rsid w:val="00C304D2"/>
    <w:rsid w:val="00C32D36"/>
    <w:rsid w:val="00C338CB"/>
    <w:rsid w:val="00C34434"/>
    <w:rsid w:val="00C34B51"/>
    <w:rsid w:val="00C34C68"/>
    <w:rsid w:val="00C36EDE"/>
    <w:rsid w:val="00C41313"/>
    <w:rsid w:val="00C417F7"/>
    <w:rsid w:val="00C41BC7"/>
    <w:rsid w:val="00C43556"/>
    <w:rsid w:val="00C443B5"/>
    <w:rsid w:val="00C44A59"/>
    <w:rsid w:val="00C45079"/>
    <w:rsid w:val="00C4571C"/>
    <w:rsid w:val="00C5436C"/>
    <w:rsid w:val="00C54AB8"/>
    <w:rsid w:val="00C55BA8"/>
    <w:rsid w:val="00C57952"/>
    <w:rsid w:val="00C57E0F"/>
    <w:rsid w:val="00C613D2"/>
    <w:rsid w:val="00C61D1B"/>
    <w:rsid w:val="00C61EA9"/>
    <w:rsid w:val="00C66CD2"/>
    <w:rsid w:val="00C755BB"/>
    <w:rsid w:val="00C75D70"/>
    <w:rsid w:val="00C7652D"/>
    <w:rsid w:val="00C8059F"/>
    <w:rsid w:val="00C81FC3"/>
    <w:rsid w:val="00C8249E"/>
    <w:rsid w:val="00C82658"/>
    <w:rsid w:val="00C82E39"/>
    <w:rsid w:val="00C83C85"/>
    <w:rsid w:val="00C84955"/>
    <w:rsid w:val="00C86B50"/>
    <w:rsid w:val="00C86EBB"/>
    <w:rsid w:val="00C86FF7"/>
    <w:rsid w:val="00C870C3"/>
    <w:rsid w:val="00C9030A"/>
    <w:rsid w:val="00C9184D"/>
    <w:rsid w:val="00C931EE"/>
    <w:rsid w:val="00C94792"/>
    <w:rsid w:val="00C95EE9"/>
    <w:rsid w:val="00C964F4"/>
    <w:rsid w:val="00CA0EC0"/>
    <w:rsid w:val="00CA123F"/>
    <w:rsid w:val="00CA295E"/>
    <w:rsid w:val="00CA29BE"/>
    <w:rsid w:val="00CA4E6F"/>
    <w:rsid w:val="00CA577E"/>
    <w:rsid w:val="00CB15E9"/>
    <w:rsid w:val="00CB1DFD"/>
    <w:rsid w:val="00CB4F9C"/>
    <w:rsid w:val="00CC4E1F"/>
    <w:rsid w:val="00CC5764"/>
    <w:rsid w:val="00CC72D5"/>
    <w:rsid w:val="00CD0670"/>
    <w:rsid w:val="00CD2877"/>
    <w:rsid w:val="00CD5499"/>
    <w:rsid w:val="00CD5A41"/>
    <w:rsid w:val="00CD6096"/>
    <w:rsid w:val="00CD6D55"/>
    <w:rsid w:val="00CE07CF"/>
    <w:rsid w:val="00CE09E8"/>
    <w:rsid w:val="00CE0E05"/>
    <w:rsid w:val="00CE14C0"/>
    <w:rsid w:val="00CE2AF8"/>
    <w:rsid w:val="00CE4BCC"/>
    <w:rsid w:val="00CE4F69"/>
    <w:rsid w:val="00CE51E0"/>
    <w:rsid w:val="00CF2264"/>
    <w:rsid w:val="00CF5069"/>
    <w:rsid w:val="00CF590C"/>
    <w:rsid w:val="00CF6EFA"/>
    <w:rsid w:val="00CF7929"/>
    <w:rsid w:val="00D002BC"/>
    <w:rsid w:val="00D004B2"/>
    <w:rsid w:val="00D00E29"/>
    <w:rsid w:val="00D01A95"/>
    <w:rsid w:val="00D0309D"/>
    <w:rsid w:val="00D0314F"/>
    <w:rsid w:val="00D03946"/>
    <w:rsid w:val="00D0403F"/>
    <w:rsid w:val="00D052D4"/>
    <w:rsid w:val="00D1173B"/>
    <w:rsid w:val="00D11C4A"/>
    <w:rsid w:val="00D11C59"/>
    <w:rsid w:val="00D22196"/>
    <w:rsid w:val="00D22E89"/>
    <w:rsid w:val="00D257DE"/>
    <w:rsid w:val="00D27741"/>
    <w:rsid w:val="00D3376D"/>
    <w:rsid w:val="00D34244"/>
    <w:rsid w:val="00D35FA7"/>
    <w:rsid w:val="00D37825"/>
    <w:rsid w:val="00D40320"/>
    <w:rsid w:val="00D41146"/>
    <w:rsid w:val="00D4175E"/>
    <w:rsid w:val="00D44936"/>
    <w:rsid w:val="00D51E45"/>
    <w:rsid w:val="00D53D1D"/>
    <w:rsid w:val="00D5511A"/>
    <w:rsid w:val="00D66B98"/>
    <w:rsid w:val="00D677E1"/>
    <w:rsid w:val="00D70E1F"/>
    <w:rsid w:val="00D71BBB"/>
    <w:rsid w:val="00D738FA"/>
    <w:rsid w:val="00D80193"/>
    <w:rsid w:val="00D86172"/>
    <w:rsid w:val="00D86F8F"/>
    <w:rsid w:val="00D948DA"/>
    <w:rsid w:val="00D95586"/>
    <w:rsid w:val="00D95DDF"/>
    <w:rsid w:val="00DA1DE4"/>
    <w:rsid w:val="00DA38B8"/>
    <w:rsid w:val="00DA4E59"/>
    <w:rsid w:val="00DA6B4B"/>
    <w:rsid w:val="00DA6C45"/>
    <w:rsid w:val="00DB0CB1"/>
    <w:rsid w:val="00DB1BF2"/>
    <w:rsid w:val="00DB22A0"/>
    <w:rsid w:val="00DB41A2"/>
    <w:rsid w:val="00DB7E4A"/>
    <w:rsid w:val="00DC3F56"/>
    <w:rsid w:val="00DC5EFE"/>
    <w:rsid w:val="00DC615C"/>
    <w:rsid w:val="00DC662F"/>
    <w:rsid w:val="00DC7ABF"/>
    <w:rsid w:val="00DC7C3F"/>
    <w:rsid w:val="00DD0C78"/>
    <w:rsid w:val="00DD729E"/>
    <w:rsid w:val="00DE1A14"/>
    <w:rsid w:val="00DE3FC8"/>
    <w:rsid w:val="00DE751B"/>
    <w:rsid w:val="00DE7549"/>
    <w:rsid w:val="00DF5055"/>
    <w:rsid w:val="00DF57BE"/>
    <w:rsid w:val="00DF6186"/>
    <w:rsid w:val="00DF648D"/>
    <w:rsid w:val="00DF7419"/>
    <w:rsid w:val="00E00CCA"/>
    <w:rsid w:val="00E03A89"/>
    <w:rsid w:val="00E06BA7"/>
    <w:rsid w:val="00E07939"/>
    <w:rsid w:val="00E11131"/>
    <w:rsid w:val="00E17ED6"/>
    <w:rsid w:val="00E21A02"/>
    <w:rsid w:val="00E248EC"/>
    <w:rsid w:val="00E257AE"/>
    <w:rsid w:val="00E25D06"/>
    <w:rsid w:val="00E27BBD"/>
    <w:rsid w:val="00E3183F"/>
    <w:rsid w:val="00E3241C"/>
    <w:rsid w:val="00E34B00"/>
    <w:rsid w:val="00E34F36"/>
    <w:rsid w:val="00E35152"/>
    <w:rsid w:val="00E35E14"/>
    <w:rsid w:val="00E424C0"/>
    <w:rsid w:val="00E537CB"/>
    <w:rsid w:val="00E53C96"/>
    <w:rsid w:val="00E55842"/>
    <w:rsid w:val="00E56818"/>
    <w:rsid w:val="00E579EF"/>
    <w:rsid w:val="00E71682"/>
    <w:rsid w:val="00E734B4"/>
    <w:rsid w:val="00E73B51"/>
    <w:rsid w:val="00E747A4"/>
    <w:rsid w:val="00E75A3D"/>
    <w:rsid w:val="00E75B38"/>
    <w:rsid w:val="00E76EA4"/>
    <w:rsid w:val="00E775B2"/>
    <w:rsid w:val="00E7775F"/>
    <w:rsid w:val="00E807EE"/>
    <w:rsid w:val="00E807EF"/>
    <w:rsid w:val="00E81123"/>
    <w:rsid w:val="00E83032"/>
    <w:rsid w:val="00E856E4"/>
    <w:rsid w:val="00E902D4"/>
    <w:rsid w:val="00E9117A"/>
    <w:rsid w:val="00E93964"/>
    <w:rsid w:val="00E94215"/>
    <w:rsid w:val="00E9425C"/>
    <w:rsid w:val="00E957ED"/>
    <w:rsid w:val="00E963E0"/>
    <w:rsid w:val="00EA1ACF"/>
    <w:rsid w:val="00EA2D53"/>
    <w:rsid w:val="00EA35D5"/>
    <w:rsid w:val="00EA48E7"/>
    <w:rsid w:val="00EB0C40"/>
    <w:rsid w:val="00EB0ED7"/>
    <w:rsid w:val="00EB38F0"/>
    <w:rsid w:val="00EB3BC0"/>
    <w:rsid w:val="00EC034D"/>
    <w:rsid w:val="00EC0AFC"/>
    <w:rsid w:val="00EC2C8D"/>
    <w:rsid w:val="00EC2CDB"/>
    <w:rsid w:val="00EC3BFD"/>
    <w:rsid w:val="00EC3C63"/>
    <w:rsid w:val="00EC69B4"/>
    <w:rsid w:val="00EC6F68"/>
    <w:rsid w:val="00ED311F"/>
    <w:rsid w:val="00ED4924"/>
    <w:rsid w:val="00EE0734"/>
    <w:rsid w:val="00EE09D7"/>
    <w:rsid w:val="00EE0C98"/>
    <w:rsid w:val="00EE4B8F"/>
    <w:rsid w:val="00EE4E5C"/>
    <w:rsid w:val="00EF056D"/>
    <w:rsid w:val="00EF158E"/>
    <w:rsid w:val="00EF5853"/>
    <w:rsid w:val="00EF627F"/>
    <w:rsid w:val="00EF69E0"/>
    <w:rsid w:val="00F016A5"/>
    <w:rsid w:val="00F0459D"/>
    <w:rsid w:val="00F05462"/>
    <w:rsid w:val="00F12A9C"/>
    <w:rsid w:val="00F14117"/>
    <w:rsid w:val="00F14960"/>
    <w:rsid w:val="00F15697"/>
    <w:rsid w:val="00F1594B"/>
    <w:rsid w:val="00F169AB"/>
    <w:rsid w:val="00F17906"/>
    <w:rsid w:val="00F23223"/>
    <w:rsid w:val="00F248AD"/>
    <w:rsid w:val="00F26FF5"/>
    <w:rsid w:val="00F324D6"/>
    <w:rsid w:val="00F32F60"/>
    <w:rsid w:val="00F336B0"/>
    <w:rsid w:val="00F35252"/>
    <w:rsid w:val="00F3685F"/>
    <w:rsid w:val="00F37990"/>
    <w:rsid w:val="00F37C84"/>
    <w:rsid w:val="00F40E6C"/>
    <w:rsid w:val="00F411F8"/>
    <w:rsid w:val="00F415D2"/>
    <w:rsid w:val="00F444BE"/>
    <w:rsid w:val="00F539CC"/>
    <w:rsid w:val="00F55454"/>
    <w:rsid w:val="00F55CE4"/>
    <w:rsid w:val="00F55E1B"/>
    <w:rsid w:val="00F55F9E"/>
    <w:rsid w:val="00F6046B"/>
    <w:rsid w:val="00F6329E"/>
    <w:rsid w:val="00F6518C"/>
    <w:rsid w:val="00F65965"/>
    <w:rsid w:val="00F7069B"/>
    <w:rsid w:val="00F71794"/>
    <w:rsid w:val="00F73AA5"/>
    <w:rsid w:val="00F740E0"/>
    <w:rsid w:val="00F757D4"/>
    <w:rsid w:val="00F82E99"/>
    <w:rsid w:val="00F8494E"/>
    <w:rsid w:val="00F86844"/>
    <w:rsid w:val="00F907BA"/>
    <w:rsid w:val="00F90E49"/>
    <w:rsid w:val="00F90E94"/>
    <w:rsid w:val="00F94CBE"/>
    <w:rsid w:val="00F96720"/>
    <w:rsid w:val="00F974C9"/>
    <w:rsid w:val="00F97B34"/>
    <w:rsid w:val="00FA0765"/>
    <w:rsid w:val="00FA095E"/>
    <w:rsid w:val="00FA1171"/>
    <w:rsid w:val="00FA1854"/>
    <w:rsid w:val="00FA4F56"/>
    <w:rsid w:val="00FA6356"/>
    <w:rsid w:val="00FB1875"/>
    <w:rsid w:val="00FB1D31"/>
    <w:rsid w:val="00FB3BC4"/>
    <w:rsid w:val="00FB5E34"/>
    <w:rsid w:val="00FC0EFF"/>
    <w:rsid w:val="00FC4FE1"/>
    <w:rsid w:val="00FC6AAF"/>
    <w:rsid w:val="00FC6D01"/>
    <w:rsid w:val="00FC6EC0"/>
    <w:rsid w:val="00FD0611"/>
    <w:rsid w:val="00FD3ACF"/>
    <w:rsid w:val="00FD44DF"/>
    <w:rsid w:val="00FD5D17"/>
    <w:rsid w:val="00FD69F3"/>
    <w:rsid w:val="00FE2F3D"/>
    <w:rsid w:val="00FE34B0"/>
    <w:rsid w:val="00FE464F"/>
    <w:rsid w:val="00FE60B7"/>
    <w:rsid w:val="00FF041C"/>
    <w:rsid w:val="00FF1B6B"/>
    <w:rsid w:val="00FF55DA"/>
    <w:rsid w:val="01AF07AD"/>
    <w:rsid w:val="021F5CC4"/>
    <w:rsid w:val="028C75C8"/>
    <w:rsid w:val="02A92276"/>
    <w:rsid w:val="03423695"/>
    <w:rsid w:val="034E3C81"/>
    <w:rsid w:val="03A5744C"/>
    <w:rsid w:val="03A63259"/>
    <w:rsid w:val="03BC600C"/>
    <w:rsid w:val="03C7719F"/>
    <w:rsid w:val="041D1E58"/>
    <w:rsid w:val="0424130F"/>
    <w:rsid w:val="04AB70CE"/>
    <w:rsid w:val="04FE4EEC"/>
    <w:rsid w:val="051E4940"/>
    <w:rsid w:val="059A48F7"/>
    <w:rsid w:val="05BB42A5"/>
    <w:rsid w:val="06185E80"/>
    <w:rsid w:val="06BB69AC"/>
    <w:rsid w:val="06BC0734"/>
    <w:rsid w:val="06FA19CE"/>
    <w:rsid w:val="075A73CE"/>
    <w:rsid w:val="07A726D5"/>
    <w:rsid w:val="07BF2A09"/>
    <w:rsid w:val="082B53E7"/>
    <w:rsid w:val="089F7E9F"/>
    <w:rsid w:val="08E92ED7"/>
    <w:rsid w:val="091D385C"/>
    <w:rsid w:val="09AD684B"/>
    <w:rsid w:val="0A4B43B6"/>
    <w:rsid w:val="0A523EB3"/>
    <w:rsid w:val="0A6A2FF9"/>
    <w:rsid w:val="0AA832BA"/>
    <w:rsid w:val="0ACE05D7"/>
    <w:rsid w:val="0B323B20"/>
    <w:rsid w:val="0B4526E8"/>
    <w:rsid w:val="0B640474"/>
    <w:rsid w:val="0BD33816"/>
    <w:rsid w:val="0C0B3A45"/>
    <w:rsid w:val="0C252C5B"/>
    <w:rsid w:val="0C7358DA"/>
    <w:rsid w:val="0C944357"/>
    <w:rsid w:val="0CA425A2"/>
    <w:rsid w:val="0D1F3FAF"/>
    <w:rsid w:val="0D537BD4"/>
    <w:rsid w:val="0DE15FD5"/>
    <w:rsid w:val="0DF96B23"/>
    <w:rsid w:val="0E86157F"/>
    <w:rsid w:val="0EDE143F"/>
    <w:rsid w:val="0F2C1D70"/>
    <w:rsid w:val="0F4634ED"/>
    <w:rsid w:val="0FA908FA"/>
    <w:rsid w:val="0FC319AC"/>
    <w:rsid w:val="0FD35912"/>
    <w:rsid w:val="0FD44234"/>
    <w:rsid w:val="0FD86A35"/>
    <w:rsid w:val="0FDB19B4"/>
    <w:rsid w:val="0FE12C03"/>
    <w:rsid w:val="0FFE2E27"/>
    <w:rsid w:val="103C5D69"/>
    <w:rsid w:val="105A5F18"/>
    <w:rsid w:val="10725EA8"/>
    <w:rsid w:val="10BB57E2"/>
    <w:rsid w:val="118061E6"/>
    <w:rsid w:val="11CF16D1"/>
    <w:rsid w:val="12063C61"/>
    <w:rsid w:val="125A63EC"/>
    <w:rsid w:val="126E7ACF"/>
    <w:rsid w:val="12885D55"/>
    <w:rsid w:val="12BC340B"/>
    <w:rsid w:val="12CB18EA"/>
    <w:rsid w:val="12EB2802"/>
    <w:rsid w:val="13174AE5"/>
    <w:rsid w:val="13677F0B"/>
    <w:rsid w:val="137858F1"/>
    <w:rsid w:val="13D37F45"/>
    <w:rsid w:val="13E50F0A"/>
    <w:rsid w:val="13E72F44"/>
    <w:rsid w:val="1444068D"/>
    <w:rsid w:val="144522AD"/>
    <w:rsid w:val="14574AB1"/>
    <w:rsid w:val="146C7A35"/>
    <w:rsid w:val="14E62E81"/>
    <w:rsid w:val="14EC0958"/>
    <w:rsid w:val="157A5FF4"/>
    <w:rsid w:val="15A916A7"/>
    <w:rsid w:val="15B341EF"/>
    <w:rsid w:val="15E85889"/>
    <w:rsid w:val="15F1786F"/>
    <w:rsid w:val="16066D5F"/>
    <w:rsid w:val="162613D1"/>
    <w:rsid w:val="16353C00"/>
    <w:rsid w:val="16405444"/>
    <w:rsid w:val="16445BF1"/>
    <w:rsid w:val="16516A2E"/>
    <w:rsid w:val="17686B42"/>
    <w:rsid w:val="17B912B6"/>
    <w:rsid w:val="17FD413E"/>
    <w:rsid w:val="18302E5B"/>
    <w:rsid w:val="184B154A"/>
    <w:rsid w:val="189C6AE8"/>
    <w:rsid w:val="18C86FF1"/>
    <w:rsid w:val="1A1B4DC9"/>
    <w:rsid w:val="1A633817"/>
    <w:rsid w:val="1A7550B9"/>
    <w:rsid w:val="1AA6317E"/>
    <w:rsid w:val="1AAC1E98"/>
    <w:rsid w:val="1AEB1149"/>
    <w:rsid w:val="1AFE3A0A"/>
    <w:rsid w:val="1B3425D8"/>
    <w:rsid w:val="1BB32D63"/>
    <w:rsid w:val="1C237BDC"/>
    <w:rsid w:val="1C484B08"/>
    <w:rsid w:val="1CA104F7"/>
    <w:rsid w:val="1CB53B5F"/>
    <w:rsid w:val="1CE54B7B"/>
    <w:rsid w:val="1CE75D7F"/>
    <w:rsid w:val="1CEE43D7"/>
    <w:rsid w:val="1CF16040"/>
    <w:rsid w:val="1D4A2358"/>
    <w:rsid w:val="1D59040B"/>
    <w:rsid w:val="1D78283D"/>
    <w:rsid w:val="1DDA233E"/>
    <w:rsid w:val="1E2622C2"/>
    <w:rsid w:val="1E4C5F8A"/>
    <w:rsid w:val="1E8917EB"/>
    <w:rsid w:val="1F1B5524"/>
    <w:rsid w:val="200807D8"/>
    <w:rsid w:val="20834D89"/>
    <w:rsid w:val="20A7447B"/>
    <w:rsid w:val="20AA473D"/>
    <w:rsid w:val="20D07D4D"/>
    <w:rsid w:val="20DA0986"/>
    <w:rsid w:val="20E05780"/>
    <w:rsid w:val="20F26A01"/>
    <w:rsid w:val="216A6571"/>
    <w:rsid w:val="219D26B3"/>
    <w:rsid w:val="21AA47C3"/>
    <w:rsid w:val="21DE339D"/>
    <w:rsid w:val="220033F4"/>
    <w:rsid w:val="220530EF"/>
    <w:rsid w:val="220C6A39"/>
    <w:rsid w:val="222F1E50"/>
    <w:rsid w:val="225A6F68"/>
    <w:rsid w:val="22D62C5C"/>
    <w:rsid w:val="22F001E8"/>
    <w:rsid w:val="23056BE4"/>
    <w:rsid w:val="232A0A01"/>
    <w:rsid w:val="23566329"/>
    <w:rsid w:val="2440686E"/>
    <w:rsid w:val="24526037"/>
    <w:rsid w:val="2458627C"/>
    <w:rsid w:val="24680461"/>
    <w:rsid w:val="24971E57"/>
    <w:rsid w:val="24D26ABE"/>
    <w:rsid w:val="24E12BB6"/>
    <w:rsid w:val="24F60977"/>
    <w:rsid w:val="252F727B"/>
    <w:rsid w:val="25A27646"/>
    <w:rsid w:val="25EC36BA"/>
    <w:rsid w:val="264340CF"/>
    <w:rsid w:val="269E73A8"/>
    <w:rsid w:val="26B678E1"/>
    <w:rsid w:val="27056939"/>
    <w:rsid w:val="27326119"/>
    <w:rsid w:val="27375A65"/>
    <w:rsid w:val="2743401F"/>
    <w:rsid w:val="27A15FB4"/>
    <w:rsid w:val="27F3710C"/>
    <w:rsid w:val="27FE61B0"/>
    <w:rsid w:val="286237E1"/>
    <w:rsid w:val="286D29E1"/>
    <w:rsid w:val="28972BAE"/>
    <w:rsid w:val="28E344D3"/>
    <w:rsid w:val="291B758F"/>
    <w:rsid w:val="295403E9"/>
    <w:rsid w:val="29686F20"/>
    <w:rsid w:val="298A5BB9"/>
    <w:rsid w:val="2A1D38FA"/>
    <w:rsid w:val="2A617C98"/>
    <w:rsid w:val="2AAB56FB"/>
    <w:rsid w:val="2ACE42F7"/>
    <w:rsid w:val="2AE566D7"/>
    <w:rsid w:val="2AEA2D43"/>
    <w:rsid w:val="2B207190"/>
    <w:rsid w:val="2B7128C2"/>
    <w:rsid w:val="2C9C6D7F"/>
    <w:rsid w:val="2CAE62C0"/>
    <w:rsid w:val="2CD57AED"/>
    <w:rsid w:val="2D5D03FD"/>
    <w:rsid w:val="2DA719B5"/>
    <w:rsid w:val="2EB84C93"/>
    <w:rsid w:val="2EE217CF"/>
    <w:rsid w:val="2F023826"/>
    <w:rsid w:val="2F154535"/>
    <w:rsid w:val="2F307910"/>
    <w:rsid w:val="2F4F0BE9"/>
    <w:rsid w:val="2F665B7F"/>
    <w:rsid w:val="2F7A3742"/>
    <w:rsid w:val="2F816746"/>
    <w:rsid w:val="2FD30FB2"/>
    <w:rsid w:val="30CC7942"/>
    <w:rsid w:val="30F45879"/>
    <w:rsid w:val="311C55C6"/>
    <w:rsid w:val="31AA3A9A"/>
    <w:rsid w:val="31CE2C88"/>
    <w:rsid w:val="31DA3488"/>
    <w:rsid w:val="31F41E38"/>
    <w:rsid w:val="327656D1"/>
    <w:rsid w:val="32B86522"/>
    <w:rsid w:val="32BD45C1"/>
    <w:rsid w:val="32DD2820"/>
    <w:rsid w:val="32EC46A9"/>
    <w:rsid w:val="32FB3683"/>
    <w:rsid w:val="340A6D87"/>
    <w:rsid w:val="34185347"/>
    <w:rsid w:val="344D665E"/>
    <w:rsid w:val="345156EB"/>
    <w:rsid w:val="34A9783B"/>
    <w:rsid w:val="34B75359"/>
    <w:rsid w:val="35120615"/>
    <w:rsid w:val="360209D9"/>
    <w:rsid w:val="360734F3"/>
    <w:rsid w:val="365B31D0"/>
    <w:rsid w:val="36611A75"/>
    <w:rsid w:val="368209EC"/>
    <w:rsid w:val="3690101D"/>
    <w:rsid w:val="36914718"/>
    <w:rsid w:val="369765CD"/>
    <w:rsid w:val="36BE2296"/>
    <w:rsid w:val="374656CF"/>
    <w:rsid w:val="37C16200"/>
    <w:rsid w:val="37F33A74"/>
    <w:rsid w:val="37FD6901"/>
    <w:rsid w:val="38762354"/>
    <w:rsid w:val="38A202A9"/>
    <w:rsid w:val="38F90240"/>
    <w:rsid w:val="38FB27D7"/>
    <w:rsid w:val="38FF54F5"/>
    <w:rsid w:val="39063BF2"/>
    <w:rsid w:val="391046F8"/>
    <w:rsid w:val="393567DB"/>
    <w:rsid w:val="395056E0"/>
    <w:rsid w:val="39742C14"/>
    <w:rsid w:val="39AD5504"/>
    <w:rsid w:val="39B32E5C"/>
    <w:rsid w:val="39C92D7F"/>
    <w:rsid w:val="39D46CF5"/>
    <w:rsid w:val="3A0566C1"/>
    <w:rsid w:val="3A1F7127"/>
    <w:rsid w:val="3A5D2658"/>
    <w:rsid w:val="3AC02BBF"/>
    <w:rsid w:val="3B184264"/>
    <w:rsid w:val="3B4972B1"/>
    <w:rsid w:val="3B962495"/>
    <w:rsid w:val="3BDA603A"/>
    <w:rsid w:val="3BF92F51"/>
    <w:rsid w:val="3C1415FB"/>
    <w:rsid w:val="3C1E28BD"/>
    <w:rsid w:val="3C634773"/>
    <w:rsid w:val="3C972C81"/>
    <w:rsid w:val="3CC65DED"/>
    <w:rsid w:val="3CD56E40"/>
    <w:rsid w:val="3D606F05"/>
    <w:rsid w:val="3D7648B2"/>
    <w:rsid w:val="3D9B618F"/>
    <w:rsid w:val="3DAE27F6"/>
    <w:rsid w:val="3DCE36E5"/>
    <w:rsid w:val="3DD339DE"/>
    <w:rsid w:val="3DF66DA1"/>
    <w:rsid w:val="3E8848A7"/>
    <w:rsid w:val="3E8A31A2"/>
    <w:rsid w:val="3EDA27A6"/>
    <w:rsid w:val="400304C4"/>
    <w:rsid w:val="40362FE4"/>
    <w:rsid w:val="40373E68"/>
    <w:rsid w:val="407C6F69"/>
    <w:rsid w:val="40913EAC"/>
    <w:rsid w:val="40CB5A8C"/>
    <w:rsid w:val="41374CD0"/>
    <w:rsid w:val="416E27E2"/>
    <w:rsid w:val="41816BF5"/>
    <w:rsid w:val="41B512FE"/>
    <w:rsid w:val="429C4CF5"/>
    <w:rsid w:val="42A7090C"/>
    <w:rsid w:val="43240FEA"/>
    <w:rsid w:val="43741859"/>
    <w:rsid w:val="43941AA1"/>
    <w:rsid w:val="43B33EC0"/>
    <w:rsid w:val="43E035F9"/>
    <w:rsid w:val="43FD47C7"/>
    <w:rsid w:val="444916C4"/>
    <w:rsid w:val="44803997"/>
    <w:rsid w:val="44AC4ED3"/>
    <w:rsid w:val="44AE2679"/>
    <w:rsid w:val="44DA2097"/>
    <w:rsid w:val="450F7935"/>
    <w:rsid w:val="452D3CBE"/>
    <w:rsid w:val="45966654"/>
    <w:rsid w:val="45BD39AD"/>
    <w:rsid w:val="45C870E1"/>
    <w:rsid w:val="45DA192D"/>
    <w:rsid w:val="45F621D6"/>
    <w:rsid w:val="46211506"/>
    <w:rsid w:val="46392A95"/>
    <w:rsid w:val="46963185"/>
    <w:rsid w:val="46CC7AD8"/>
    <w:rsid w:val="46D410DE"/>
    <w:rsid w:val="47042CD0"/>
    <w:rsid w:val="4765159E"/>
    <w:rsid w:val="4789517B"/>
    <w:rsid w:val="47EE3912"/>
    <w:rsid w:val="48384EDE"/>
    <w:rsid w:val="48595CBB"/>
    <w:rsid w:val="48694C47"/>
    <w:rsid w:val="49122BAE"/>
    <w:rsid w:val="49455D58"/>
    <w:rsid w:val="49672ADE"/>
    <w:rsid w:val="497B5E2D"/>
    <w:rsid w:val="499923EA"/>
    <w:rsid w:val="49C27692"/>
    <w:rsid w:val="49C6391E"/>
    <w:rsid w:val="4AB663B6"/>
    <w:rsid w:val="4AE66063"/>
    <w:rsid w:val="4B593D28"/>
    <w:rsid w:val="4BAB2719"/>
    <w:rsid w:val="4BF62E59"/>
    <w:rsid w:val="4C223CCE"/>
    <w:rsid w:val="4C58296E"/>
    <w:rsid w:val="4CE2665F"/>
    <w:rsid w:val="4CEC2CEE"/>
    <w:rsid w:val="4D554A57"/>
    <w:rsid w:val="4D982674"/>
    <w:rsid w:val="4E02372E"/>
    <w:rsid w:val="4E137440"/>
    <w:rsid w:val="4E256DB9"/>
    <w:rsid w:val="4E313C80"/>
    <w:rsid w:val="4E371AEB"/>
    <w:rsid w:val="4E5B7161"/>
    <w:rsid w:val="4E8C3C8F"/>
    <w:rsid w:val="4E8D6AA2"/>
    <w:rsid w:val="4F021A3A"/>
    <w:rsid w:val="4F3C1CD3"/>
    <w:rsid w:val="4F50596A"/>
    <w:rsid w:val="4F645B6C"/>
    <w:rsid w:val="4FB40517"/>
    <w:rsid w:val="4FBB3F6A"/>
    <w:rsid w:val="4FBF1D29"/>
    <w:rsid w:val="5004602C"/>
    <w:rsid w:val="5085442F"/>
    <w:rsid w:val="50B45B25"/>
    <w:rsid w:val="510440B9"/>
    <w:rsid w:val="513A1467"/>
    <w:rsid w:val="513F5CEE"/>
    <w:rsid w:val="51723F93"/>
    <w:rsid w:val="51746772"/>
    <w:rsid w:val="5237602E"/>
    <w:rsid w:val="52803511"/>
    <w:rsid w:val="52A8003E"/>
    <w:rsid w:val="5327136D"/>
    <w:rsid w:val="534F07A8"/>
    <w:rsid w:val="538B24C2"/>
    <w:rsid w:val="53CB7D68"/>
    <w:rsid w:val="53F01E6F"/>
    <w:rsid w:val="54125C72"/>
    <w:rsid w:val="54553FF6"/>
    <w:rsid w:val="54967113"/>
    <w:rsid w:val="54BF7B31"/>
    <w:rsid w:val="5560589C"/>
    <w:rsid w:val="559C7621"/>
    <w:rsid w:val="5647728B"/>
    <w:rsid w:val="56546CAC"/>
    <w:rsid w:val="56982E14"/>
    <w:rsid w:val="56A86F71"/>
    <w:rsid w:val="56E762D0"/>
    <w:rsid w:val="5739067B"/>
    <w:rsid w:val="575D70BE"/>
    <w:rsid w:val="57B0287B"/>
    <w:rsid w:val="580A2C96"/>
    <w:rsid w:val="58A939B8"/>
    <w:rsid w:val="58E80773"/>
    <w:rsid w:val="58F97B69"/>
    <w:rsid w:val="5951355C"/>
    <w:rsid w:val="59FC19AD"/>
    <w:rsid w:val="5A5B4EBC"/>
    <w:rsid w:val="5A65411D"/>
    <w:rsid w:val="5A667622"/>
    <w:rsid w:val="5A8B11BA"/>
    <w:rsid w:val="5AAE5108"/>
    <w:rsid w:val="5AFA7634"/>
    <w:rsid w:val="5B054151"/>
    <w:rsid w:val="5B321295"/>
    <w:rsid w:val="5B481A74"/>
    <w:rsid w:val="5B4A1571"/>
    <w:rsid w:val="5B8F6721"/>
    <w:rsid w:val="5B9A4534"/>
    <w:rsid w:val="5C4A03E6"/>
    <w:rsid w:val="5D0658C3"/>
    <w:rsid w:val="5D167FC1"/>
    <w:rsid w:val="5D600918"/>
    <w:rsid w:val="5D9543AA"/>
    <w:rsid w:val="5DBF0ADC"/>
    <w:rsid w:val="5DCE4DEC"/>
    <w:rsid w:val="5DDB3724"/>
    <w:rsid w:val="5E2C27BF"/>
    <w:rsid w:val="5E601227"/>
    <w:rsid w:val="5E6709E3"/>
    <w:rsid w:val="5ECC41E0"/>
    <w:rsid w:val="5ECE55C8"/>
    <w:rsid w:val="5F512406"/>
    <w:rsid w:val="5FD276B3"/>
    <w:rsid w:val="5FDB4D0C"/>
    <w:rsid w:val="5FED1305"/>
    <w:rsid w:val="6007722E"/>
    <w:rsid w:val="606D70BF"/>
    <w:rsid w:val="609F49FC"/>
    <w:rsid w:val="60CA0D14"/>
    <w:rsid w:val="613329BF"/>
    <w:rsid w:val="61BE46B8"/>
    <w:rsid w:val="62123C22"/>
    <w:rsid w:val="62182D6E"/>
    <w:rsid w:val="62787D20"/>
    <w:rsid w:val="63216D0D"/>
    <w:rsid w:val="63523258"/>
    <w:rsid w:val="635608AB"/>
    <w:rsid w:val="6386068E"/>
    <w:rsid w:val="638D38D8"/>
    <w:rsid w:val="63A206DC"/>
    <w:rsid w:val="642D01F7"/>
    <w:rsid w:val="643D5874"/>
    <w:rsid w:val="64593133"/>
    <w:rsid w:val="64DB3F80"/>
    <w:rsid w:val="64EC52CE"/>
    <w:rsid w:val="65407DA8"/>
    <w:rsid w:val="6549507A"/>
    <w:rsid w:val="655F6568"/>
    <w:rsid w:val="66937D6A"/>
    <w:rsid w:val="66AC369D"/>
    <w:rsid w:val="66B21B8B"/>
    <w:rsid w:val="673610A7"/>
    <w:rsid w:val="674566A0"/>
    <w:rsid w:val="676C2EE0"/>
    <w:rsid w:val="679A3CE2"/>
    <w:rsid w:val="688838A8"/>
    <w:rsid w:val="68B554C7"/>
    <w:rsid w:val="6990454A"/>
    <w:rsid w:val="69CC6F1A"/>
    <w:rsid w:val="69E016E3"/>
    <w:rsid w:val="69F10D61"/>
    <w:rsid w:val="6A114FA5"/>
    <w:rsid w:val="6A2B2B1D"/>
    <w:rsid w:val="6A6C6336"/>
    <w:rsid w:val="6A6E0623"/>
    <w:rsid w:val="6A9C71CA"/>
    <w:rsid w:val="6ACF6016"/>
    <w:rsid w:val="6AD82A73"/>
    <w:rsid w:val="6B255987"/>
    <w:rsid w:val="6B880962"/>
    <w:rsid w:val="6BE60F40"/>
    <w:rsid w:val="6BF20280"/>
    <w:rsid w:val="6C055CF8"/>
    <w:rsid w:val="6C6A2BA2"/>
    <w:rsid w:val="6D0656B8"/>
    <w:rsid w:val="6D136149"/>
    <w:rsid w:val="6D342150"/>
    <w:rsid w:val="6D417702"/>
    <w:rsid w:val="6DC16057"/>
    <w:rsid w:val="6DF42BD6"/>
    <w:rsid w:val="6F0567F5"/>
    <w:rsid w:val="6F6E3439"/>
    <w:rsid w:val="6F886718"/>
    <w:rsid w:val="6F996731"/>
    <w:rsid w:val="6FDD05D1"/>
    <w:rsid w:val="6FF031F9"/>
    <w:rsid w:val="710762C0"/>
    <w:rsid w:val="72591B25"/>
    <w:rsid w:val="72C01468"/>
    <w:rsid w:val="72C112CD"/>
    <w:rsid w:val="72E6342D"/>
    <w:rsid w:val="72E8679E"/>
    <w:rsid w:val="73004332"/>
    <w:rsid w:val="73895049"/>
    <w:rsid w:val="73AF692D"/>
    <w:rsid w:val="74050ACF"/>
    <w:rsid w:val="74684432"/>
    <w:rsid w:val="75630BE3"/>
    <w:rsid w:val="75826D11"/>
    <w:rsid w:val="7593556D"/>
    <w:rsid w:val="76524779"/>
    <w:rsid w:val="76624AD6"/>
    <w:rsid w:val="768A2321"/>
    <w:rsid w:val="76B32DF7"/>
    <w:rsid w:val="76B53FDE"/>
    <w:rsid w:val="770019E4"/>
    <w:rsid w:val="77866DCD"/>
    <w:rsid w:val="778F5335"/>
    <w:rsid w:val="77FC7053"/>
    <w:rsid w:val="782F6E11"/>
    <w:rsid w:val="78417715"/>
    <w:rsid w:val="785A3063"/>
    <w:rsid w:val="78975A04"/>
    <w:rsid w:val="78D74836"/>
    <w:rsid w:val="791371E1"/>
    <w:rsid w:val="79202F98"/>
    <w:rsid w:val="793535E3"/>
    <w:rsid w:val="79C72E50"/>
    <w:rsid w:val="79DD11EF"/>
    <w:rsid w:val="7AB913DD"/>
    <w:rsid w:val="7B040055"/>
    <w:rsid w:val="7B4D761C"/>
    <w:rsid w:val="7C1E6883"/>
    <w:rsid w:val="7CA100D2"/>
    <w:rsid w:val="7D253E7B"/>
    <w:rsid w:val="7D263C2D"/>
    <w:rsid w:val="7D3935CB"/>
    <w:rsid w:val="7D8A2C07"/>
    <w:rsid w:val="7D991A83"/>
    <w:rsid w:val="7DAA019A"/>
    <w:rsid w:val="7E500349"/>
    <w:rsid w:val="7E803ACD"/>
    <w:rsid w:val="7E902BCA"/>
    <w:rsid w:val="7EBB03C3"/>
    <w:rsid w:val="7EC30660"/>
    <w:rsid w:val="7ECD4F9F"/>
    <w:rsid w:val="7ECE0606"/>
    <w:rsid w:val="7ED21548"/>
    <w:rsid w:val="7EF0277F"/>
    <w:rsid w:val="7EF80316"/>
    <w:rsid w:val="7F9C5AFA"/>
    <w:rsid w:val="7FAF592B"/>
    <w:rsid w:val="DD7FC828"/>
    <w:rsid w:val="FB5FF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7"/>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38"/>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3"/>
    <w:next w:val="1"/>
    <w:link w:val="39"/>
    <w:qFormat/>
    <w:uiPriority w:val="9"/>
    <w:pPr>
      <w:outlineLvl w:val="2"/>
    </w:pPr>
    <w:rPr>
      <w:rFonts w:ascii="Times New Roman" w:hAnsi="Times New Roman"/>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rPr>
      <w:rFonts w:ascii="Calibri" w:hAnsi="Calibri" w:eastAsia="宋体" w:cs="Times New Roman"/>
    </w:rPr>
  </w:style>
  <w:style w:type="paragraph" w:styleId="6">
    <w:name w:val="caption"/>
    <w:basedOn w:val="1"/>
    <w:next w:val="1"/>
    <w:qFormat/>
    <w:uiPriority w:val="0"/>
    <w:rPr>
      <w:rFonts w:ascii="Arial" w:hAnsi="Arial" w:eastAsia="黑体" w:cs="Times New Roman"/>
      <w:sz w:val="20"/>
      <w:szCs w:val="21"/>
    </w:rPr>
  </w:style>
  <w:style w:type="paragraph" w:styleId="7">
    <w:name w:val="Document Map"/>
    <w:basedOn w:val="1"/>
    <w:link w:val="40"/>
    <w:unhideWhenUsed/>
    <w:qFormat/>
    <w:uiPriority w:val="99"/>
    <w:rPr>
      <w:rFonts w:ascii="宋体" w:eastAsia="宋体"/>
      <w:sz w:val="18"/>
      <w:szCs w:val="18"/>
    </w:rPr>
  </w:style>
  <w:style w:type="paragraph" w:styleId="8">
    <w:name w:val="annotation text"/>
    <w:basedOn w:val="1"/>
    <w:link w:val="102"/>
    <w:semiHidden/>
    <w:unhideWhenUsed/>
    <w:qFormat/>
    <w:uiPriority w:val="99"/>
    <w:pPr>
      <w:jc w:val="left"/>
    </w:pPr>
  </w:style>
  <w:style w:type="paragraph" w:styleId="9">
    <w:name w:val="Body Text"/>
    <w:basedOn w:val="1"/>
    <w:qFormat/>
    <w:uiPriority w:val="0"/>
    <w:pPr>
      <w:spacing w:after="120"/>
    </w:pPr>
    <w:rPr>
      <w:rFonts w:ascii="Times New Roman" w:hAnsi="Times New Roman" w:cs="Times New Roman"/>
    </w:rPr>
  </w:style>
  <w:style w:type="paragraph" w:styleId="10">
    <w:name w:val="Body Text Indent"/>
    <w:basedOn w:val="1"/>
    <w:qFormat/>
    <w:uiPriority w:val="0"/>
    <w:pPr>
      <w:ind w:left="420" w:leftChars="200"/>
    </w:pPr>
  </w:style>
  <w:style w:type="paragraph" w:styleId="11">
    <w:name w:val="toc 5"/>
    <w:basedOn w:val="1"/>
    <w:next w:val="1"/>
    <w:unhideWhenUsed/>
    <w:qFormat/>
    <w:uiPriority w:val="39"/>
    <w:pPr>
      <w:ind w:left="1680" w:leftChars="800"/>
    </w:pPr>
    <w:rPr>
      <w:rFonts w:ascii="Calibri" w:hAnsi="Calibri" w:eastAsia="宋体" w:cs="Times New Roman"/>
    </w:rPr>
  </w:style>
  <w:style w:type="paragraph" w:styleId="12">
    <w:name w:val="toc 3"/>
    <w:basedOn w:val="1"/>
    <w:next w:val="1"/>
    <w:unhideWhenUsed/>
    <w:qFormat/>
    <w:uiPriority w:val="39"/>
    <w:pPr>
      <w:ind w:left="840" w:leftChars="400"/>
    </w:pPr>
    <w:rPr>
      <w:rFonts w:ascii="Times New Roman" w:hAnsi="Times New Roman" w:eastAsia="宋体" w:cs="Times New Roman"/>
      <w:szCs w:val="21"/>
    </w:rPr>
  </w:style>
  <w:style w:type="paragraph" w:styleId="13">
    <w:name w:val="toc 8"/>
    <w:basedOn w:val="1"/>
    <w:next w:val="1"/>
    <w:unhideWhenUsed/>
    <w:qFormat/>
    <w:uiPriority w:val="39"/>
    <w:pPr>
      <w:ind w:left="2940" w:leftChars="1400"/>
    </w:pPr>
    <w:rPr>
      <w:rFonts w:ascii="Calibri" w:hAnsi="Calibri" w:eastAsia="宋体" w:cs="Times New Roman"/>
    </w:rPr>
  </w:style>
  <w:style w:type="paragraph" w:styleId="14">
    <w:name w:val="Date"/>
    <w:basedOn w:val="1"/>
    <w:next w:val="1"/>
    <w:link w:val="44"/>
    <w:unhideWhenUsed/>
    <w:qFormat/>
    <w:uiPriority w:val="99"/>
    <w:pPr>
      <w:ind w:left="100" w:leftChars="2500"/>
    </w:pPr>
    <w:rPr>
      <w:rFonts w:ascii="Times New Roman" w:hAnsi="Times New Roman"/>
      <w:szCs w:val="21"/>
    </w:rPr>
  </w:style>
  <w:style w:type="paragraph" w:styleId="15">
    <w:name w:val="Body Text Indent 2"/>
    <w:basedOn w:val="1"/>
    <w:link w:val="46"/>
    <w:qFormat/>
    <w:uiPriority w:val="0"/>
    <w:pPr>
      <w:spacing w:after="120" w:line="480" w:lineRule="auto"/>
      <w:ind w:left="420" w:leftChars="200"/>
    </w:pPr>
    <w:rPr>
      <w:rFonts w:ascii="Times New Roman" w:hAnsi="Times New Roman"/>
      <w:szCs w:val="24"/>
    </w:rPr>
  </w:style>
  <w:style w:type="paragraph" w:styleId="16">
    <w:name w:val="Balloon Text"/>
    <w:basedOn w:val="1"/>
    <w:link w:val="45"/>
    <w:unhideWhenUsed/>
    <w:qFormat/>
    <w:uiPriority w:val="99"/>
    <w:rPr>
      <w:rFonts w:ascii="Times New Roman" w:hAnsi="Times New Roman"/>
      <w:sz w:val="18"/>
      <w:szCs w:val="18"/>
    </w:rPr>
  </w:style>
  <w:style w:type="paragraph" w:styleId="17">
    <w:name w:val="footer"/>
    <w:basedOn w:val="1"/>
    <w:link w:val="49"/>
    <w:unhideWhenUsed/>
    <w:qFormat/>
    <w:uiPriority w:val="99"/>
    <w:pPr>
      <w:tabs>
        <w:tab w:val="center" w:pos="4153"/>
        <w:tab w:val="right" w:pos="8306"/>
      </w:tabs>
      <w:snapToGrid w:val="0"/>
      <w:jc w:val="left"/>
    </w:pPr>
    <w:rPr>
      <w:rFonts w:ascii="Times New Roman" w:hAnsi="Times New Roman"/>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19">
    <w:name w:val="toc 1"/>
    <w:basedOn w:val="1"/>
    <w:next w:val="1"/>
    <w:unhideWhenUsed/>
    <w:qFormat/>
    <w:uiPriority w:val="39"/>
    <w:rPr>
      <w:rFonts w:ascii="Times New Roman" w:hAnsi="Times New Roman" w:eastAsia="宋体" w:cs="Times New Roman"/>
      <w:szCs w:val="21"/>
    </w:rPr>
  </w:style>
  <w:style w:type="paragraph" w:styleId="20">
    <w:name w:val="toc 4"/>
    <w:basedOn w:val="1"/>
    <w:next w:val="1"/>
    <w:unhideWhenUsed/>
    <w:qFormat/>
    <w:uiPriority w:val="39"/>
    <w:pPr>
      <w:ind w:left="1260" w:leftChars="600"/>
    </w:pPr>
    <w:rPr>
      <w:rFonts w:ascii="Calibri" w:hAnsi="Calibri" w:eastAsia="宋体" w:cs="Times New Roman"/>
    </w:rPr>
  </w:style>
  <w:style w:type="paragraph" w:styleId="21">
    <w:name w:val="toc 6"/>
    <w:basedOn w:val="1"/>
    <w:next w:val="1"/>
    <w:unhideWhenUsed/>
    <w:qFormat/>
    <w:uiPriority w:val="39"/>
    <w:pPr>
      <w:ind w:left="2100" w:leftChars="1000"/>
    </w:pPr>
    <w:rPr>
      <w:rFonts w:ascii="Calibri" w:hAnsi="Calibri" w:eastAsia="宋体" w:cs="Times New Roman"/>
    </w:rPr>
  </w:style>
  <w:style w:type="paragraph" w:styleId="22">
    <w:name w:val="table of figures"/>
    <w:basedOn w:val="1"/>
    <w:next w:val="1"/>
    <w:unhideWhenUsed/>
    <w:qFormat/>
    <w:uiPriority w:val="99"/>
    <w:pPr>
      <w:ind w:left="200" w:leftChars="200" w:hanging="200" w:hangingChars="200"/>
    </w:pPr>
    <w:rPr>
      <w:rFonts w:ascii="Times New Roman" w:hAnsi="Times New Roman" w:eastAsia="宋体" w:cs="Times New Roman"/>
      <w:szCs w:val="21"/>
    </w:rPr>
  </w:style>
  <w:style w:type="paragraph" w:styleId="23">
    <w:name w:val="toc 2"/>
    <w:basedOn w:val="1"/>
    <w:next w:val="1"/>
    <w:unhideWhenUsed/>
    <w:qFormat/>
    <w:uiPriority w:val="39"/>
    <w:pPr>
      <w:ind w:left="420" w:leftChars="200"/>
    </w:pPr>
    <w:rPr>
      <w:rFonts w:ascii="Times New Roman" w:hAnsi="Times New Roman" w:eastAsia="宋体" w:cs="Times New Roman"/>
      <w:szCs w:val="21"/>
    </w:rPr>
  </w:style>
  <w:style w:type="paragraph" w:styleId="24">
    <w:name w:val="toc 9"/>
    <w:basedOn w:val="1"/>
    <w:next w:val="1"/>
    <w:unhideWhenUsed/>
    <w:qFormat/>
    <w:uiPriority w:val="39"/>
    <w:pPr>
      <w:ind w:left="3360" w:leftChars="1600"/>
    </w:pPr>
    <w:rPr>
      <w:rFonts w:ascii="Calibri" w:hAnsi="Calibri" w:eastAsia="宋体" w:cs="Times New Roman"/>
    </w:rPr>
  </w:style>
  <w:style w:type="paragraph" w:styleId="25">
    <w:name w:val="Message Header"/>
    <w:basedOn w:val="1"/>
    <w:next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7">
    <w:name w:val="Title"/>
    <w:basedOn w:val="1"/>
    <w:next w:val="1"/>
    <w:qFormat/>
    <w:uiPriority w:val="99"/>
    <w:pPr>
      <w:jc w:val="center"/>
      <w:outlineLvl w:val="0"/>
    </w:pPr>
    <w:rPr>
      <w:rFonts w:ascii="Arial" w:hAnsi="Arial" w:cs="Arial"/>
      <w:b/>
      <w:bCs/>
    </w:rPr>
  </w:style>
  <w:style w:type="paragraph" w:styleId="28">
    <w:name w:val="Body Text First Indent"/>
    <w:basedOn w:val="9"/>
    <w:next w:val="9"/>
    <w:qFormat/>
    <w:uiPriority w:val="0"/>
    <w:pPr>
      <w:ind w:firstLine="640" w:firstLineChars="200"/>
    </w:pPr>
  </w:style>
  <w:style w:type="paragraph" w:styleId="29">
    <w:name w:val="Body Text First Indent 2"/>
    <w:basedOn w:val="10"/>
    <w:qFormat/>
    <w:uiPriority w:val="0"/>
    <w:pPr>
      <w:ind w:firstLine="420"/>
    </w:pPr>
  </w:style>
  <w:style w:type="table" w:styleId="31">
    <w:name w:val="Table Grid"/>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FollowedHyperlink"/>
    <w:basedOn w:val="32"/>
    <w:semiHidden/>
    <w:unhideWhenUsed/>
    <w:qFormat/>
    <w:uiPriority w:val="99"/>
    <w:rPr>
      <w:color w:val="954F72" w:themeColor="followedHyperlink"/>
      <w:u w:val="single"/>
      <w14:textFill>
        <w14:solidFill>
          <w14:schemeClr w14:val="folHlink"/>
        </w14:solidFill>
      </w14:textFill>
    </w:rPr>
  </w:style>
  <w:style w:type="character" w:styleId="35">
    <w:name w:val="Emphasis"/>
    <w:qFormat/>
    <w:uiPriority w:val="20"/>
    <w:rPr>
      <w:color w:val="CC0000"/>
    </w:rPr>
  </w:style>
  <w:style w:type="character" w:styleId="36">
    <w:name w:val="Hyperlink"/>
    <w:unhideWhenUsed/>
    <w:qFormat/>
    <w:uiPriority w:val="99"/>
    <w:rPr>
      <w:color w:val="0000FF"/>
      <w:u w:val="single"/>
    </w:rPr>
  </w:style>
  <w:style w:type="character" w:customStyle="1" w:styleId="37">
    <w:name w:val="标题 1 字符"/>
    <w:basedOn w:val="32"/>
    <w:link w:val="2"/>
    <w:qFormat/>
    <w:uiPriority w:val="9"/>
    <w:rPr>
      <w:rFonts w:ascii="Times New Roman" w:hAnsi="Times New Roman" w:eastAsia="宋体" w:cs="Times New Roman"/>
      <w:b/>
      <w:bCs/>
      <w:kern w:val="44"/>
      <w:sz w:val="44"/>
      <w:szCs w:val="44"/>
    </w:rPr>
  </w:style>
  <w:style w:type="character" w:customStyle="1" w:styleId="38">
    <w:name w:val="标题 2 字符"/>
    <w:basedOn w:val="32"/>
    <w:link w:val="3"/>
    <w:qFormat/>
    <w:uiPriority w:val="9"/>
    <w:rPr>
      <w:rFonts w:ascii="Cambria" w:hAnsi="Cambria" w:eastAsia="宋体" w:cs="Times New Roman"/>
      <w:b/>
      <w:bCs/>
      <w:sz w:val="32"/>
      <w:szCs w:val="32"/>
    </w:rPr>
  </w:style>
  <w:style w:type="character" w:customStyle="1" w:styleId="39">
    <w:name w:val="标题 3 字符"/>
    <w:basedOn w:val="32"/>
    <w:link w:val="4"/>
    <w:qFormat/>
    <w:uiPriority w:val="9"/>
    <w:rPr>
      <w:rFonts w:ascii="Times New Roman" w:hAnsi="Times New Roman" w:eastAsia="宋体" w:cs="Times New Roman"/>
      <w:b/>
      <w:bCs/>
      <w:sz w:val="32"/>
      <w:szCs w:val="32"/>
    </w:rPr>
  </w:style>
  <w:style w:type="character" w:customStyle="1" w:styleId="40">
    <w:name w:val="文档结构图 字符"/>
    <w:basedOn w:val="32"/>
    <w:link w:val="7"/>
    <w:qFormat/>
    <w:uiPriority w:val="99"/>
    <w:rPr>
      <w:rFonts w:ascii="宋体" w:eastAsia="宋体"/>
      <w:sz w:val="18"/>
      <w:szCs w:val="18"/>
    </w:rPr>
  </w:style>
  <w:style w:type="character" w:customStyle="1" w:styleId="41">
    <w:name w:val="HSY正文 Char"/>
    <w:link w:val="42"/>
    <w:qFormat/>
    <w:uiPriority w:val="0"/>
    <w:rPr>
      <w:rFonts w:ascii="Times New Roman" w:hAnsi="Times New Roman"/>
      <w:sz w:val="28"/>
    </w:rPr>
  </w:style>
  <w:style w:type="paragraph" w:customStyle="1" w:styleId="42">
    <w:name w:val="HSY正文"/>
    <w:basedOn w:val="1"/>
    <w:link w:val="41"/>
    <w:qFormat/>
    <w:uiPriority w:val="0"/>
    <w:pPr>
      <w:widowControl/>
      <w:spacing w:line="360" w:lineRule="auto"/>
      <w:ind w:firstLine="425" w:firstLineChars="177"/>
    </w:pPr>
    <w:rPr>
      <w:rFonts w:ascii="Times New Roman" w:hAnsi="Times New Roman"/>
      <w:sz w:val="28"/>
    </w:rPr>
  </w:style>
  <w:style w:type="character" w:customStyle="1" w:styleId="43">
    <w:name w:val="页眉 字符"/>
    <w:link w:val="18"/>
    <w:qFormat/>
    <w:uiPriority w:val="99"/>
    <w:rPr>
      <w:rFonts w:ascii="Times New Roman" w:hAnsi="Times New Roman"/>
      <w:sz w:val="18"/>
      <w:szCs w:val="18"/>
    </w:rPr>
  </w:style>
  <w:style w:type="character" w:customStyle="1" w:styleId="44">
    <w:name w:val="日期 字符"/>
    <w:link w:val="14"/>
    <w:qFormat/>
    <w:uiPriority w:val="99"/>
    <w:rPr>
      <w:rFonts w:ascii="Times New Roman" w:hAnsi="Times New Roman"/>
      <w:szCs w:val="21"/>
    </w:rPr>
  </w:style>
  <w:style w:type="character" w:customStyle="1" w:styleId="45">
    <w:name w:val="批注框文本 字符"/>
    <w:link w:val="16"/>
    <w:qFormat/>
    <w:uiPriority w:val="99"/>
    <w:rPr>
      <w:rFonts w:ascii="Times New Roman" w:hAnsi="Times New Roman"/>
      <w:sz w:val="18"/>
      <w:szCs w:val="18"/>
    </w:rPr>
  </w:style>
  <w:style w:type="character" w:customStyle="1" w:styleId="46">
    <w:name w:val="正文文本缩进 2 字符"/>
    <w:link w:val="15"/>
    <w:qFormat/>
    <w:uiPriority w:val="0"/>
    <w:rPr>
      <w:rFonts w:ascii="Times New Roman" w:hAnsi="Times New Roman"/>
      <w:szCs w:val="24"/>
    </w:rPr>
  </w:style>
  <w:style w:type="character" w:customStyle="1" w:styleId="47">
    <w:name w:val="HSY标题3 Char"/>
    <w:link w:val="48"/>
    <w:qFormat/>
    <w:uiPriority w:val="0"/>
    <w:rPr>
      <w:rFonts w:ascii="Times New Roman" w:hAnsi="Times New Roman" w:eastAsia="黑体"/>
      <w:bCs/>
      <w:sz w:val="28"/>
      <w:szCs w:val="32"/>
    </w:rPr>
  </w:style>
  <w:style w:type="paragraph" w:customStyle="1" w:styleId="48">
    <w:name w:val="HSY标题3"/>
    <w:basedOn w:val="4"/>
    <w:next w:val="42"/>
    <w:link w:val="47"/>
    <w:qFormat/>
    <w:uiPriority w:val="0"/>
    <w:pPr>
      <w:widowControl/>
      <w:tabs>
        <w:tab w:val="left" w:pos="1559"/>
      </w:tabs>
      <w:spacing w:before="0" w:after="0" w:line="360" w:lineRule="auto"/>
    </w:pPr>
    <w:rPr>
      <w:rFonts w:eastAsia="黑体" w:cstheme="minorBidi"/>
      <w:b w:val="0"/>
      <w:sz w:val="28"/>
    </w:rPr>
  </w:style>
  <w:style w:type="character" w:customStyle="1" w:styleId="49">
    <w:name w:val="页脚 字符"/>
    <w:link w:val="17"/>
    <w:qFormat/>
    <w:uiPriority w:val="99"/>
    <w:rPr>
      <w:rFonts w:ascii="Times New Roman" w:hAnsi="Times New Roman"/>
      <w:sz w:val="18"/>
      <w:szCs w:val="18"/>
    </w:rPr>
  </w:style>
  <w:style w:type="character" w:customStyle="1" w:styleId="50">
    <w:name w:val="页脚 字符1"/>
    <w:basedOn w:val="32"/>
    <w:semiHidden/>
    <w:qFormat/>
    <w:uiPriority w:val="99"/>
    <w:rPr>
      <w:sz w:val="18"/>
      <w:szCs w:val="18"/>
    </w:rPr>
  </w:style>
  <w:style w:type="character" w:customStyle="1" w:styleId="51">
    <w:name w:val="页脚 Char1"/>
    <w:basedOn w:val="32"/>
    <w:semiHidden/>
    <w:qFormat/>
    <w:uiPriority w:val="99"/>
    <w:rPr>
      <w:sz w:val="18"/>
      <w:szCs w:val="18"/>
    </w:rPr>
  </w:style>
  <w:style w:type="character" w:customStyle="1" w:styleId="52">
    <w:name w:val="正文文本缩进 2 字符1"/>
    <w:basedOn w:val="32"/>
    <w:semiHidden/>
    <w:qFormat/>
    <w:uiPriority w:val="99"/>
  </w:style>
  <w:style w:type="character" w:customStyle="1" w:styleId="53">
    <w:name w:val="正文文本缩进 2 Char1"/>
    <w:basedOn w:val="32"/>
    <w:semiHidden/>
    <w:qFormat/>
    <w:uiPriority w:val="99"/>
  </w:style>
  <w:style w:type="character" w:customStyle="1" w:styleId="54">
    <w:name w:val="页眉 字符1"/>
    <w:basedOn w:val="32"/>
    <w:semiHidden/>
    <w:qFormat/>
    <w:uiPriority w:val="99"/>
    <w:rPr>
      <w:sz w:val="18"/>
      <w:szCs w:val="18"/>
    </w:rPr>
  </w:style>
  <w:style w:type="character" w:customStyle="1" w:styleId="55">
    <w:name w:val="页眉 Char1"/>
    <w:basedOn w:val="32"/>
    <w:semiHidden/>
    <w:qFormat/>
    <w:uiPriority w:val="99"/>
    <w:rPr>
      <w:sz w:val="18"/>
      <w:szCs w:val="18"/>
    </w:rPr>
  </w:style>
  <w:style w:type="character" w:customStyle="1" w:styleId="56">
    <w:name w:val="批注框文本 字符1"/>
    <w:basedOn w:val="32"/>
    <w:semiHidden/>
    <w:qFormat/>
    <w:uiPriority w:val="99"/>
    <w:rPr>
      <w:sz w:val="18"/>
      <w:szCs w:val="18"/>
    </w:rPr>
  </w:style>
  <w:style w:type="character" w:customStyle="1" w:styleId="57">
    <w:name w:val="批注框文本 Char1"/>
    <w:basedOn w:val="32"/>
    <w:semiHidden/>
    <w:qFormat/>
    <w:uiPriority w:val="99"/>
    <w:rPr>
      <w:sz w:val="18"/>
      <w:szCs w:val="18"/>
    </w:rPr>
  </w:style>
  <w:style w:type="character" w:customStyle="1" w:styleId="58">
    <w:name w:val="日期 字符1"/>
    <w:basedOn w:val="32"/>
    <w:semiHidden/>
    <w:qFormat/>
    <w:uiPriority w:val="99"/>
  </w:style>
  <w:style w:type="character" w:customStyle="1" w:styleId="59">
    <w:name w:val="日期 Char1"/>
    <w:basedOn w:val="32"/>
    <w:semiHidden/>
    <w:qFormat/>
    <w:uiPriority w:val="99"/>
  </w:style>
  <w:style w:type="character" w:customStyle="1" w:styleId="60">
    <w:name w:val="文档结构图 Char1"/>
    <w:basedOn w:val="32"/>
    <w:semiHidden/>
    <w:qFormat/>
    <w:uiPriority w:val="99"/>
    <w:rPr>
      <w:rFonts w:ascii="宋体" w:hAnsi="Times New Roman"/>
      <w:kern w:val="2"/>
      <w:sz w:val="18"/>
      <w:szCs w:val="18"/>
    </w:rPr>
  </w:style>
  <w:style w:type="paragraph" w:customStyle="1" w:styleId="61">
    <w:name w:val="Char Char Char1 Char Char Char1 Char Char Char Char"/>
    <w:basedOn w:val="1"/>
    <w:semiHidden/>
    <w:qFormat/>
    <w:uiPriority w:val="0"/>
    <w:rPr>
      <w:rFonts w:ascii="Times New Roman" w:hAnsi="Times New Roman" w:eastAsia="宋体" w:cs="Times New Roman"/>
      <w:szCs w:val="24"/>
    </w:rPr>
  </w:style>
  <w:style w:type="paragraph" w:customStyle="1" w:styleId="62">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List Paragraph"/>
    <w:basedOn w:val="1"/>
    <w:qFormat/>
    <w:uiPriority w:val="34"/>
    <w:pPr>
      <w:ind w:firstLine="420" w:firstLineChars="200"/>
    </w:pPr>
    <w:rPr>
      <w:rFonts w:ascii="Times New Roman" w:hAnsi="Times New Roman" w:eastAsia="宋体" w:cs="Times New Roman"/>
      <w:szCs w:val="21"/>
    </w:rPr>
  </w:style>
  <w:style w:type="paragraph" w:customStyle="1" w:styleId="64">
    <w:name w:val="Char"/>
    <w:basedOn w:val="1"/>
    <w:qFormat/>
    <w:uiPriority w:val="99"/>
    <w:pPr>
      <w:numPr>
        <w:ilvl w:val="0"/>
        <w:numId w:val="1"/>
      </w:numPr>
      <w:tabs>
        <w:tab w:val="left" w:pos="2520"/>
      </w:tabs>
    </w:pPr>
    <w:rPr>
      <w:rFonts w:hint="eastAsia" w:ascii="Times New Roman" w:hAnsi="Times New Roman" w:eastAsia="宋体" w:cs="Times New Roman"/>
      <w:szCs w:val="20"/>
    </w:rPr>
  </w:style>
  <w:style w:type="paragraph" w:customStyle="1" w:styleId="65">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66">
    <w:name w:val="汪正文"/>
    <w:basedOn w:val="1"/>
    <w:qFormat/>
    <w:uiPriority w:val="0"/>
    <w:pPr>
      <w:snapToGrid w:val="0"/>
      <w:spacing w:after="120" w:line="400" w:lineRule="atLeast"/>
      <w:ind w:firstLine="200" w:firstLineChars="200"/>
      <w:jc w:val="left"/>
    </w:pPr>
    <w:rPr>
      <w:rFonts w:ascii="Times New Roman" w:hAnsi="Times New Roman" w:eastAsia="宋体" w:cs="Times New Roman"/>
      <w:sz w:val="24"/>
      <w:szCs w:val="24"/>
    </w:rPr>
  </w:style>
  <w:style w:type="paragraph" w:styleId="67">
    <w:name w:val="No Spacing"/>
    <w:link w:val="68"/>
    <w:qFormat/>
    <w:uiPriority w:val="1"/>
    <w:rPr>
      <w:rFonts w:ascii="Calibri" w:hAnsi="Calibri" w:eastAsia="宋体" w:cs="Times New Roman"/>
      <w:sz w:val="22"/>
      <w:szCs w:val="22"/>
      <w:lang w:val="en-US" w:eastAsia="zh-CN" w:bidi="ar-SA"/>
    </w:rPr>
  </w:style>
  <w:style w:type="character" w:customStyle="1" w:styleId="68">
    <w:name w:val="无间隔 字符"/>
    <w:link w:val="67"/>
    <w:qFormat/>
    <w:uiPriority w:val="1"/>
    <w:rPr>
      <w:rFonts w:ascii="Calibri" w:hAnsi="Calibri" w:eastAsia="宋体" w:cs="Times New Roman"/>
      <w:kern w:val="0"/>
      <w:sz w:val="22"/>
    </w:rPr>
  </w:style>
  <w:style w:type="paragraph" w:customStyle="1" w:styleId="69">
    <w:name w:val="BodyText"/>
    <w:basedOn w:val="1"/>
    <w:qFormat/>
    <w:uiPriority w:val="0"/>
    <w:rPr>
      <w:rFonts w:ascii="Times New Roman" w:hAnsi="Times New Roman" w:eastAsia="宋体" w:cs="Times New Roman"/>
      <w:szCs w:val="20"/>
    </w:rPr>
  </w:style>
  <w:style w:type="character" w:customStyle="1" w:styleId="70">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paragraph" w:customStyle="1" w:styleId="71">
    <w:name w:val="列出段落1"/>
    <w:basedOn w:val="1"/>
    <w:qFormat/>
    <w:uiPriority w:val="34"/>
    <w:pPr>
      <w:ind w:firstLine="420" w:firstLineChars="200"/>
    </w:pPr>
    <w:rPr>
      <w:rFonts w:ascii="Times New Roman" w:hAnsi="Times New Roman" w:eastAsia="宋体" w:cs="Times New Roman"/>
      <w:szCs w:val="20"/>
    </w:rPr>
  </w:style>
  <w:style w:type="paragraph" w:customStyle="1" w:styleId="72">
    <w:name w:val="正文 New New New"/>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
    <w:name w:val="正文文本 New"/>
    <w:basedOn w:val="1"/>
    <w:qFormat/>
    <w:uiPriority w:val="0"/>
    <w:pPr>
      <w:spacing w:after="120"/>
    </w:pPr>
    <w:rPr>
      <w:rFonts w:ascii="Calibri" w:hAnsi="Calibri" w:eastAsia="宋体" w:cs="Times New Roman"/>
    </w:rPr>
  </w:style>
  <w:style w:type="paragraph" w:customStyle="1" w:styleId="75">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table" w:customStyle="1" w:styleId="77">
    <w:name w:val="网格型1"/>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
    <w:name w:val="网格型2"/>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
    <w:name w:val="网格型3"/>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
    <w:name w:val="网格型4"/>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
    <w:name w:val="网格型5"/>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网格型6"/>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
    <w:name w:val="网格型7"/>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
    <w:name w:val="网格型8"/>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
    <w:name w:val="网格型9"/>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
    <w:name w:val="网格型10"/>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
    <w:name w:val="网格型11"/>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
    <w:name w:val="网格型12"/>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
    <w:name w:val="网格型13"/>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0">
    <w:name w:val="current"/>
    <w:basedOn w:val="32"/>
    <w:qFormat/>
    <w:uiPriority w:val="0"/>
    <w:rPr>
      <w:color w:val="D90606"/>
    </w:rPr>
  </w:style>
  <w:style w:type="character" w:customStyle="1" w:styleId="91">
    <w:name w:val="red"/>
    <w:basedOn w:val="32"/>
    <w:qFormat/>
    <w:uiPriority w:val="0"/>
    <w:rPr>
      <w:color w:val="E91C1C"/>
    </w:rPr>
  </w:style>
  <w:style w:type="character" w:customStyle="1" w:styleId="92">
    <w:name w:val="red1"/>
    <w:basedOn w:val="32"/>
    <w:qFormat/>
    <w:uiPriority w:val="0"/>
    <w:rPr>
      <w:color w:val="D90505"/>
    </w:rPr>
  </w:style>
  <w:style w:type="character" w:customStyle="1" w:styleId="93">
    <w:name w:val="red2"/>
    <w:basedOn w:val="32"/>
    <w:qFormat/>
    <w:uiPriority w:val="0"/>
    <w:rPr>
      <w:color w:val="E91B1B"/>
    </w:rPr>
  </w:style>
  <w:style w:type="character" w:customStyle="1" w:styleId="94">
    <w:name w:val="gray"/>
    <w:basedOn w:val="32"/>
    <w:qFormat/>
    <w:uiPriority w:val="0"/>
    <w:rPr>
      <w:color w:val="999999"/>
      <w:sz w:val="22"/>
      <w:szCs w:val="22"/>
    </w:rPr>
  </w:style>
  <w:style w:type="character" w:customStyle="1" w:styleId="95">
    <w:name w:val="ontle7"/>
    <w:basedOn w:val="32"/>
    <w:qFormat/>
    <w:uiPriority w:val="0"/>
    <w:rPr>
      <w:b/>
      <w:color w:val="222222"/>
    </w:rPr>
  </w:style>
  <w:style w:type="character" w:customStyle="1" w:styleId="96">
    <w:name w:val="on1"/>
    <w:basedOn w:val="32"/>
    <w:qFormat/>
    <w:uiPriority w:val="0"/>
    <w:rPr>
      <w:color w:val="FFFFFF"/>
      <w:shd w:val="clear" w:color="auto" w:fill="D90606"/>
    </w:rPr>
  </w:style>
  <w:style w:type="character" w:customStyle="1" w:styleId="97">
    <w:name w:val="tlewh"/>
    <w:basedOn w:val="32"/>
    <w:qFormat/>
    <w:uiPriority w:val="0"/>
  </w:style>
  <w:style w:type="paragraph" w:customStyle="1" w:styleId="98">
    <w:name w:val="专栏标题1"/>
    <w:basedOn w:val="1"/>
    <w:qFormat/>
    <w:uiPriority w:val="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560" w:lineRule="exact"/>
      <w:ind w:left="420"/>
      <w:jc w:val="center"/>
    </w:pPr>
    <w:rPr>
      <w:rFonts w:ascii="Times New Roman" w:hAnsi="Times New Roman" w:eastAsia="宋体" w:cs="Times New Roman"/>
      <w:b/>
      <w:bCs/>
      <w:color w:val="000000"/>
      <w:kern w:val="0"/>
      <w:sz w:val="28"/>
      <w:szCs w:val="28"/>
      <w:lang w:val="zh-CN"/>
    </w:rPr>
  </w:style>
  <w:style w:type="paragraph" w:customStyle="1" w:styleId="9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00">
    <w:name w:val="专栏文本"/>
    <w:basedOn w:val="1"/>
    <w:link w:val="101"/>
    <w:qFormat/>
    <w:uiPriority w:val="0"/>
    <w:pPr>
      <w:spacing w:line="560" w:lineRule="exact"/>
      <w:jc w:val="center"/>
    </w:pPr>
    <w:rPr>
      <w:rFonts w:ascii="Times New Roman" w:hAnsi="Times New Roman" w:eastAsia="仿宋_GB2312" w:cs="Times New Roman"/>
      <w:kern w:val="0"/>
      <w:sz w:val="30"/>
      <w:szCs w:val="20"/>
    </w:rPr>
  </w:style>
  <w:style w:type="character" w:customStyle="1" w:styleId="101">
    <w:name w:val="专栏文本 字符"/>
    <w:link w:val="100"/>
    <w:qFormat/>
    <w:locked/>
    <w:uiPriority w:val="0"/>
    <w:rPr>
      <w:rFonts w:eastAsia="仿宋_GB2312"/>
      <w:sz w:val="30"/>
    </w:rPr>
  </w:style>
  <w:style w:type="character" w:customStyle="1" w:styleId="102">
    <w:name w:val="批注文字 字符"/>
    <w:basedOn w:val="32"/>
    <w:link w:val="8"/>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microsoft.com/office/2006/relationships/keyMapCustomizations" Target="customizations.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0a8cb668-2fad-4281-bb28-59d5e6eb53d3</errorID>
      <errorWord>一二三产融合</errorWord>
      <group>L1_Political</group>
      <groupName>政治性问题</groupName>
      <ability>L2_Keyword</ability>
      <abilityName>固定表述</abilityName>
      <candidateList>
        <item>一二三产业融合</item>
      </candidateList>
      <explain>词汇“一二三产业融合”在特定场景下为固定表述形式，请确认此处的“一二三产融合”是否存在不当。</explain>
      <paraID>586AA598</paraID>
      <start>78</start>
      <end>84</end>
      <status>ignored</status>
      <modifiedWord/>
      <trackRevisions>false</trackRevisions>
    </reviewItem>
    <reviewItem>
      <errorID>3c001c97-087b-4ef2-95ce-740538df422e</errorID>
      <errorWord>&gt;</errorWord>
      <group>L1_Punc</group>
      <groupName>标点问题</groupName>
      <ability>L2_Punc_CN</ability>
      <abilityName>标点符号问题</abilityName>
      <candidateList/>
      <explain/>
      <paraID> F56C67F</paraID>
      <start>0</start>
      <end>1</end>
      <status>ignored</status>
      <modifiedWord/>
      <trackRevisions>false</trackRevisions>
    </reviewItem>
    <reviewItem>
      <errorID>02129222-3449-4e9f-ab4f-c87fb3721ca8</errorID>
      <errorWord>&gt;</errorWord>
      <group>L1_Punc</group>
      <groupName>标点问题</groupName>
      <ability>L2_Punc_CN</ability>
      <abilityName>标点符号问题</abilityName>
      <candidateList/>
      <explain/>
      <paraID> 4103AEC</paraID>
      <start>0</start>
      <end>1</end>
      <status>ignored</status>
      <modifiedWord/>
      <trackRevisions>false</trackRevisions>
    </reviewItem>
    <reviewItem>
      <errorID>3ab5d619-2da2-4360-91a5-d115aba35877</errorID>
      <errorWord>深空开发</errorWord>
      <group>L1_Political</group>
      <groupName>政治性问题</groupName>
      <ability>L2_Unpolitical</ability>
      <abilityName>政治敏感错误</abilityName>
      <candidateList>
        <item>深空探索</item>
      </candidateList>
      <explain/>
      <paraID>40594DAB</paraID>
      <start>134</start>
      <end>138</end>
      <status>ignored</status>
      <modifiedWord/>
      <trackRevisions>false</trackRevisions>
    </reviewItem>
    <reviewItem>
      <errorID>8ae1375e-a648-4177-9ca6-ebececa13780</errorID>
      <errorWord>智能供应链</errorWord>
      <group>L1_Political</group>
      <groupName>政治性问题</groupName>
      <ability>L2_Keyword</ability>
      <abilityName>固定表述</abilityName>
      <candidateList>
        <item>智慧供应链</item>
      </candidateList>
      <explain>词汇“智慧供应链”在特定场景下为固定表述形式，请确认此处的“智能供应链”是否存在不当。</explain>
      <paraID>1B4EB9DF</paraID>
      <start>0</start>
      <end>5</end>
      <status>ignored</status>
      <modifiedWord/>
      <trackRevisions>false</trackRevisions>
    </reviewItem>
    <reviewItem>
      <errorID>8b6d2b2d-4da1-40ef-9802-9d72075cfaa9</errorID>
      <errorWord>绿色食品原料标准化基地</errorWord>
      <group>L1_Word</group>
      <groupName>字词问题</groupName>
      <ability>L2_Typo</ability>
      <abilityName>字词错误</abilityName>
      <candidateList>
        <item>绿色食品原料标准化生产基地</item>
      </candidateList>
      <explain/>
      <paraID> A04B145</paraID>
      <start>45</start>
      <end>56</end>
      <status>ignored</status>
      <modifiedWord/>
      <trackRevisions>false</trackRevisions>
    </reviewItem>
    <reviewItem>
      <errorID>6bbb7972-4c8a-4fd2-9df2-d732e3260dce</errorID>
      <errorWord>农业龙头型企业</errorWord>
      <group>L1_Political</group>
      <groupName>政治性问题</groupName>
      <ability>L2_Unpolitical</ability>
      <abilityName>政治敏感错误</abilityName>
      <candidateList>
        <item>农业龙头企业</item>
      </candidateList>
      <explain/>
      <paraID>7EF4A058</paraID>
      <start>121</start>
      <end>128</end>
      <status>ignored</status>
      <modifiedWord/>
      <trackRevisions>false</trackRevisions>
    </reviewItem>
    <reviewItem>
      <errorID>be1a99ab-aae1-42b5-b6ac-6c7906683613</errorID>
      <errorWord>付士</errorWord>
      <group>L1_Word</group>
      <groupName>字词问题</groupName>
      <ability>L2_Typo</ability>
      <abilityName>字词错误</abilityName>
      <candidateList>
        <item>富士</item>
      </candidateList>
      <explain>存在发音相同字词的误用。</explain>
      <paraID>18A34ED3</paraID>
      <start>14</start>
      <end>16</end>
      <status>ignored</status>
      <modifiedWord/>
      <trackRevisions>false</trackRevisions>
    </reviewItem>
    <reviewItem>
      <errorID>ac70f500-72f7-4191-a551-906572fac4f7</errorID>
      <errorWord>、和</errorWord>
      <group>L1_Punc</group>
      <groupName>标点问题</groupName>
      <ability>L2_Punc_CN</ability>
      <abilityName>标点符号问题</abilityName>
      <candidateList>
        <item>和</item>
      </candidateList>
      <explain>“及”“和”“等”连词前不宜使用顿号，建议删除（或使用逗号）。</explain>
      <paraID>42935F86</paraID>
      <start>18</start>
      <end>20</end>
      <status>ignored</status>
      <modifiedWord/>
      <trackRevisions>false</trackRevisions>
    </reviewItem>
    <reviewItem>
      <errorID>2e98dad0-36eb-4f20-a991-0fc3d34195e5</errorID>
      <errorWord>做到“两个维护”</errorWord>
      <group>L1_Political</group>
      <groupName>政治性问题</groupName>
      <ability>L2_Unpolitical</ability>
      <abilityName>政治敏感错误</abilityName>
      <candidateList>
        <item>坚决做到“两个维护”</item>
      </candidateList>
      <explain/>
      <paraID>296DFEC6</paraID>
      <start>55</start>
      <end>65</end>
      <status>modified</status>
      <modifiedWord>坚决做到“两个维护”</modifiedWord>
      <trackRevisions>false</trackRevisions>
    </reviewItem>
    <reviewItem>
      <errorID>ec0196e9-93eb-4b25-a270-3b25daab194f</errorID>
      <errorWord>特色社会主义思想作为</errorWord>
      <group>L1_Word</group>
      <groupName>字词问题</groupName>
      <ability>L2_Typo</ability>
      <abilityName>字词错误</abilityName>
      <candidateList>
        <item>特色社会主义思想为</item>
      </candidateList>
      <explain/>
      <paraID>24D77934</paraID>
      <start>223</start>
      <end>233</end>
      <status>ignored</status>
      <modifiedWord/>
      <trackRevisions>false</trackRevisions>
    </reviewItem>
  </reviewItems>
  <config/>
</contractReview>
</file>

<file path=customXml/item2.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b1cf4914-ab32-49cb-a0b7-cc3fc9656507}">
  <ds:schemaRefs/>
</ds:datastoreItem>
</file>

<file path=customXml/itemProps2.xml><?xml version="1.0" encoding="utf-8"?>
<ds:datastoreItem xmlns:ds="http://schemas.openxmlformats.org/officeDocument/2006/customXml" ds:itemID="{5C2E4CE0-87CF-4C0E-A268-FA349C8914B7}">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101</Pages>
  <Words>8626</Words>
  <Characters>9000</Characters>
  <Lines>446</Lines>
  <Paragraphs>125</Paragraphs>
  <TotalTime>55</TotalTime>
  <ScaleCrop>false</ScaleCrop>
  <LinksUpToDate>false</LinksUpToDate>
  <CharactersWithSpaces>9080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2025-11-18T00:39:00Z</dcterms:created>
  <dc:creator>于 占成</dc:creator>
  <cp:lastModifiedBy>꧁༺君༻꧂</cp:lastModifiedBy>
  <cp:lastPrinted>2026-08-25T00:49:00Z</cp:lastPrinted>
  <dcterms:modified xsi:type="dcterms:W3CDTF">2026-08-26T01:47:28Z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66EA6DB416354F7582EE85B4E7CD6482_13</vt:lpwstr>
  </property>
  <property fmtid="{D5CDD505-2E9C-101B-9397-08002B2CF9AE}" pid="4" name="KSOTemplateDocerSaveRecord">
    <vt:lpwstr>eyJoZGlkIjoiOTNmYjBmYzNlNjU1NDIyZmU0ZjhmNWU0ZWY4YjAyNzAiLCJ1c2VySWQiOiIxMTAzMDAxMjczIn0=</vt:lpwstr>
  </property>
</Properties>
</file>