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56ABB">
      <w:pPr>
        <w:jc w:val="center"/>
        <w:rPr>
          <w:rFonts w:hint="eastAsia" w:ascii="宋体" w:hAnsi="宋体" w:eastAsia="宋体" w:cs="宋体"/>
          <w:sz w:val="44"/>
          <w:szCs w:val="44"/>
        </w:rPr>
      </w:pPr>
    </w:p>
    <w:p w14:paraId="0B2198C1">
      <w:pPr>
        <w:jc w:val="center"/>
        <w:rPr>
          <w:rFonts w:hint="eastAsia" w:ascii="宋体" w:hAnsi="宋体" w:eastAsia="宋体" w:cs="宋体"/>
          <w:sz w:val="44"/>
          <w:szCs w:val="44"/>
        </w:rPr>
      </w:pPr>
    </w:p>
    <w:p w14:paraId="214BAC3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佳木斯市郊区卫生健康局医师、护士执业注册许可信息公示</w:t>
      </w:r>
    </w:p>
    <w:p w14:paraId="6D107BD5">
      <w:pPr>
        <w:rPr>
          <w:rFonts w:hint="eastAsia"/>
        </w:rPr>
      </w:pPr>
    </w:p>
    <w:p w14:paraId="0319C08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446EE4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根据《中华人民共和国行政许可法》第四十条“行政机关作出的准予行政许可决定，应当予以公开，公众有权查阅。”的规定，现将20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日至2026年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日的医师、护士执业注册信息予以公示。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52A61"/>
    <w:rsid w:val="0BC11B67"/>
    <w:rsid w:val="0F252A61"/>
    <w:rsid w:val="16E2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122</Characters>
  <Lines>0</Lines>
  <Paragraphs>0</Paragraphs>
  <TotalTime>19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2026-07-21T05:13:00Z</dcterms:created>
  <dc:creator>周</dc:creator>
  <cp:lastModifiedBy>戆</cp:lastModifiedBy>
  <dcterms:modified xsi:type="dcterms:W3CDTF">2026-10-20T01:20:37Z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3CA872345E2A429C80CF0CD575472B2B_13</vt:lpwstr>
  </property>
  <property fmtid="{D5CDD505-2E9C-101B-9397-08002B2CF9AE}" pid="4" name="KSOTemplateDocerSaveRecord">
    <vt:lpwstr>eyJoZGlkIjoiZmFjNjgwZGQxYmVjNTIxNTljNjk0MTdkODRiYzhhM2QiLCJ1c2VySWQiOiIyNDY2MzU0MzcifQ==</vt:lpwstr>
  </property>
</Properties>
</file>